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56"/>
        </w:rPr>
        <w:t>INFUPLAS</w:t>
      </w:r>
    </w:p>
    <w:p>
      <w:pPr>
        <w:jc w:val="center"/>
      </w:pPr>
      <w:r>
        <w:rPr>
          <w:b/>
          <w:sz w:val="44"/>
        </w:rPr>
        <w:t>MANUAL DEL SISTEMA INTEGRADO DE GESTIÓN</w:t>
      </w:r>
    </w:p>
    <w:p>
      <w:pPr>
        <w:jc w:val="center"/>
      </w:pPr>
      <w:r>
        <w:rPr>
          <w:sz w:val="28"/>
        </w:rPr>
        <w:t>Calidad ISO 9001:2015 + Medio Ambiente ISO 14001:2015</w:t>
      </w:r>
    </w:p>
    <w:p/>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trPr>
        <w:tc>
          <w:tcPr>
            <w:tcW w:type="dxa" w:w="2493"/>
            <w:vAlign w:val="center"/>
            <w:shd w:fill="D9EAF7"/>
          </w:tcPr>
          <w:p>
            <w:r/>
            <w:r>
              <w:rPr>
                <w:b/>
                <w:sz w:val="17"/>
              </w:rPr>
              <w:t>Documento</w:t>
            </w:r>
          </w:p>
        </w:tc>
        <w:tc>
          <w:tcPr>
            <w:tcW w:type="dxa" w:w="2493"/>
            <w:vAlign w:val="center"/>
            <w:shd w:fill="D9EAF7"/>
          </w:tcPr>
          <w:p>
            <w:r/>
            <w:r>
              <w:rPr>
                <w:b/>
                <w:sz w:val="17"/>
              </w:rPr>
              <w:t>Código</w:t>
            </w:r>
          </w:p>
        </w:tc>
        <w:tc>
          <w:tcPr>
            <w:tcW w:type="dxa" w:w="2493"/>
            <w:vAlign w:val="center"/>
            <w:shd w:fill="D9EAF7"/>
          </w:tcPr>
          <w:p>
            <w:r/>
            <w:r>
              <w:rPr>
                <w:b/>
                <w:sz w:val="17"/>
              </w:rPr>
              <w:t>Versión</w:t>
            </w:r>
          </w:p>
        </w:tc>
        <w:tc>
          <w:tcPr>
            <w:tcW w:type="dxa" w:w="2493"/>
            <w:vAlign w:val="center"/>
            <w:shd w:fill="D9EAF7"/>
          </w:tcPr>
          <w:p>
            <w:r/>
            <w:r>
              <w:rPr>
                <w:b/>
                <w:sz w:val="17"/>
              </w:rPr>
              <w:t>Fecha</w:t>
            </w:r>
          </w:p>
        </w:tc>
      </w:tr>
      <w:tr>
        <w:tc>
          <w:tcPr>
            <w:tcW w:type="dxa" w:w="2493"/>
            <w:vAlign w:val="center"/>
          </w:tcPr>
          <w:p>
            <w:r/>
            <w:r>
              <w:rPr>
                <w:b w:val="0"/>
                <w:sz w:val="20"/>
              </w:rPr>
              <w:t>Manual SGI</w:t>
            </w:r>
          </w:p>
        </w:tc>
        <w:tc>
          <w:tcPr>
            <w:tcW w:type="dxa" w:w="2493"/>
            <w:vAlign w:val="center"/>
          </w:tcPr>
          <w:p>
            <w:r/>
            <w:r>
              <w:rPr>
                <w:b w:val="0"/>
                <w:sz w:val="20"/>
              </w:rPr>
              <w:t>MG-SGI-01</w:t>
            </w:r>
          </w:p>
        </w:tc>
        <w:tc>
          <w:tcPr>
            <w:tcW w:type="dxa" w:w="2493"/>
            <w:vAlign w:val="center"/>
          </w:tcPr>
          <w:p>
            <w:r/>
            <w:r>
              <w:rPr>
                <w:b w:val="0"/>
                <w:sz w:val="20"/>
              </w:rPr>
              <w:t>2.0</w:t>
            </w:r>
          </w:p>
        </w:tc>
        <w:tc>
          <w:tcPr>
            <w:tcW w:type="dxa" w:w="2493"/>
            <w:vAlign w:val="center"/>
          </w:tcPr>
          <w:p>
            <w:r/>
            <w:r>
              <w:rPr>
                <w:b w:val="0"/>
                <w:sz w:val="20"/>
              </w:rPr>
              <w:t>Agosto 2026</w:t>
            </w:r>
          </w:p>
        </w:tc>
      </w:tr>
    </w:tbl>
    <w:p/>
    <w:p>
      <w:pPr>
        <w:jc w:val="center"/>
      </w:pPr>
      <w:r>
        <w:rPr>
          <w:b/>
        </w:rPr>
        <w:t>Alcance: Fabricación de film de polietileno mediante extrusión, corte, bobinado y transformación.</w:t>
      </w:r>
    </w:p>
    <w:p>
      <w:pPr>
        <w:pStyle w:val="NotaSGI"/>
        <w:jc w:val="center"/>
      </w:pPr>
      <w:r>
        <w:t>Documento base consolidado. Los campos de aprobación, nombres, fechas de revisión y requisitos legales específicos deberán mantenerse actualizados por INFUPLAS.</w:t>
      </w:r>
    </w:p>
    <w:p>
      <w:r>
        <w:br w:type="page"/>
      </w:r>
    </w:p>
    <w:p>
      <w:pPr>
        <w:pStyle w:val="Heading1"/>
      </w:pPr>
      <w:r>
        <w:t>0. Control del documento</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Campo</w:t>
            </w:r>
          </w:p>
        </w:tc>
        <w:tc>
          <w:tcPr>
            <w:tcW w:type="dxa" w:w="4986"/>
            <w:vAlign w:val="center"/>
            <w:shd w:fill="D9EAF7"/>
          </w:tcPr>
          <w:p>
            <w:r/>
            <w:r>
              <w:rPr>
                <w:b/>
                <w:sz w:val="17"/>
              </w:rPr>
              <w:t>Contenido</w:t>
            </w:r>
          </w:p>
        </w:tc>
      </w:tr>
      <w:tr>
        <w:tc>
          <w:tcPr>
            <w:tcW w:type="dxa" w:w="4986"/>
            <w:vAlign w:val="center"/>
          </w:tcPr>
          <w:p>
            <w:r/>
            <w:r>
              <w:rPr>
                <w:b w:val="0"/>
                <w:sz w:val="17"/>
              </w:rPr>
              <w:t>Título</w:t>
            </w:r>
          </w:p>
        </w:tc>
        <w:tc>
          <w:tcPr>
            <w:tcW w:type="dxa" w:w="4986"/>
            <w:vAlign w:val="center"/>
          </w:tcPr>
          <w:p>
            <w:r/>
            <w:r>
              <w:rPr>
                <w:b w:val="0"/>
                <w:sz w:val="17"/>
              </w:rPr>
              <w:t>Manual del Sistema Integrado de Gestión</w:t>
            </w:r>
          </w:p>
        </w:tc>
      </w:tr>
      <w:tr>
        <w:tc>
          <w:tcPr>
            <w:tcW w:type="dxa" w:w="4986"/>
            <w:vAlign w:val="center"/>
          </w:tcPr>
          <w:p>
            <w:r/>
            <w:r>
              <w:rPr>
                <w:b w:val="0"/>
                <w:sz w:val="17"/>
              </w:rPr>
              <w:t>Código</w:t>
            </w:r>
          </w:p>
        </w:tc>
        <w:tc>
          <w:tcPr>
            <w:tcW w:type="dxa" w:w="4986"/>
            <w:vAlign w:val="center"/>
          </w:tcPr>
          <w:p>
            <w:r/>
            <w:r>
              <w:rPr>
                <w:b w:val="0"/>
                <w:sz w:val="17"/>
              </w:rPr>
              <w:t>MG-SGI-01</w:t>
            </w:r>
          </w:p>
        </w:tc>
      </w:tr>
      <w:tr>
        <w:tc>
          <w:tcPr>
            <w:tcW w:type="dxa" w:w="4986"/>
            <w:vAlign w:val="center"/>
          </w:tcPr>
          <w:p>
            <w:r/>
            <w:r>
              <w:rPr>
                <w:b w:val="0"/>
                <w:sz w:val="17"/>
              </w:rPr>
              <w:t>Versión</w:t>
            </w:r>
          </w:p>
        </w:tc>
        <w:tc>
          <w:tcPr>
            <w:tcW w:type="dxa" w:w="4986"/>
            <w:vAlign w:val="center"/>
          </w:tcPr>
          <w:p>
            <w:r/>
            <w:r>
              <w:rPr>
                <w:b w:val="0"/>
                <w:sz w:val="17"/>
              </w:rPr>
              <w:t>2.0</w:t>
            </w:r>
          </w:p>
        </w:tc>
      </w:tr>
      <w:tr>
        <w:tc>
          <w:tcPr>
            <w:tcW w:type="dxa" w:w="4986"/>
            <w:vAlign w:val="center"/>
          </w:tcPr>
          <w:p>
            <w:r/>
            <w:r>
              <w:rPr>
                <w:b w:val="0"/>
                <w:sz w:val="17"/>
              </w:rPr>
              <w:t>Responsable de mantenimiento</w:t>
            </w:r>
          </w:p>
        </w:tc>
        <w:tc>
          <w:tcPr>
            <w:tcW w:type="dxa" w:w="4986"/>
            <w:vAlign w:val="center"/>
          </w:tcPr>
          <w:p>
            <w:r/>
            <w:r>
              <w:rPr>
                <w:b w:val="0"/>
                <w:sz w:val="17"/>
              </w:rPr>
              <w:t>Administración y Calidad</w:t>
            </w:r>
          </w:p>
        </w:tc>
      </w:tr>
      <w:tr>
        <w:tc>
          <w:tcPr>
            <w:tcW w:type="dxa" w:w="4986"/>
            <w:vAlign w:val="center"/>
          </w:tcPr>
          <w:p>
            <w:r/>
            <w:r>
              <w:rPr>
                <w:b w:val="0"/>
                <w:sz w:val="17"/>
              </w:rPr>
              <w:t>Aprobación</w:t>
            </w:r>
          </w:p>
        </w:tc>
        <w:tc>
          <w:tcPr>
            <w:tcW w:type="dxa" w:w="4986"/>
            <w:vAlign w:val="center"/>
          </w:tcPr>
          <w:p>
            <w:r/>
            <w:r>
              <w:rPr>
                <w:b w:val="0"/>
                <w:sz w:val="17"/>
              </w:rPr>
              <w:t>Dirección General</w:t>
            </w:r>
          </w:p>
        </w:tc>
      </w:tr>
      <w:tr>
        <w:tc>
          <w:tcPr>
            <w:tcW w:type="dxa" w:w="4986"/>
            <w:vAlign w:val="center"/>
          </w:tcPr>
          <w:p>
            <w:r/>
            <w:r>
              <w:rPr>
                <w:b w:val="0"/>
                <w:sz w:val="17"/>
              </w:rPr>
              <w:t>Periodicidad de revisión</w:t>
            </w:r>
          </w:p>
        </w:tc>
        <w:tc>
          <w:tcPr>
            <w:tcW w:type="dxa" w:w="4986"/>
            <w:vAlign w:val="center"/>
          </w:tcPr>
          <w:p>
            <w:r/>
            <w:r>
              <w:rPr>
                <w:b w:val="0"/>
                <w:sz w:val="17"/>
              </w:rPr>
              <w:t>Anual y siempre que existan cambios relevantes</w:t>
            </w:r>
          </w:p>
        </w:tc>
      </w:tr>
      <w:tr>
        <w:tc>
          <w:tcPr>
            <w:tcW w:type="dxa" w:w="4986"/>
            <w:vAlign w:val="center"/>
          </w:tcPr>
          <w:p>
            <w:r/>
            <w:r>
              <w:rPr>
                <w:b w:val="0"/>
                <w:sz w:val="17"/>
              </w:rPr>
              <w:t>Distribución</w:t>
            </w:r>
          </w:p>
        </w:tc>
        <w:tc>
          <w:tcPr>
            <w:tcW w:type="dxa" w:w="4986"/>
            <w:vAlign w:val="center"/>
          </w:tcPr>
          <w:p>
            <w:r/>
            <w:r>
              <w:rPr>
                <w:b w:val="0"/>
                <w:sz w:val="17"/>
              </w:rPr>
              <w:t>Copia controlada digital; impresión considerada copia no controlada salvo identificación expresa</w:t>
            </w:r>
          </w:p>
        </w:tc>
      </w:tr>
    </w:tbl>
    <w:p/>
    <w:p>
      <w:pPr>
        <w:pStyle w:val="Heading2"/>
      </w:pPr>
      <w:r>
        <w:t>0.1 Historial de revisiones</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Versión</w:t>
            </w:r>
          </w:p>
        </w:tc>
        <w:tc>
          <w:tcPr>
            <w:tcW w:type="dxa" w:w="3324"/>
            <w:vAlign w:val="center"/>
            <w:shd w:fill="D9EAF7"/>
          </w:tcPr>
          <w:p>
            <w:r/>
            <w:r>
              <w:rPr>
                <w:b/>
                <w:sz w:val="17"/>
              </w:rPr>
              <w:t>Fecha</w:t>
            </w:r>
          </w:p>
        </w:tc>
        <w:tc>
          <w:tcPr>
            <w:tcW w:type="dxa" w:w="3324"/>
            <w:vAlign w:val="center"/>
            <w:shd w:fill="D9EAF7"/>
          </w:tcPr>
          <w:p>
            <w:r/>
            <w:r>
              <w:rPr>
                <w:b/>
                <w:sz w:val="17"/>
              </w:rPr>
              <w:t>Descripción</w:t>
            </w:r>
          </w:p>
        </w:tc>
      </w:tr>
      <w:tr>
        <w:tc>
          <w:tcPr>
            <w:tcW w:type="dxa" w:w="3324"/>
            <w:vAlign w:val="center"/>
          </w:tcPr>
          <w:p>
            <w:r/>
            <w:r>
              <w:rPr>
                <w:b w:val="0"/>
                <w:sz w:val="17"/>
              </w:rPr>
              <w:t>1.0</w:t>
            </w:r>
          </w:p>
        </w:tc>
        <w:tc>
          <w:tcPr>
            <w:tcW w:type="dxa" w:w="3324"/>
            <w:vAlign w:val="center"/>
          </w:tcPr>
          <w:p>
            <w:r/>
            <w:r>
              <w:rPr>
                <w:b w:val="0"/>
                <w:sz w:val="17"/>
              </w:rPr>
              <w:t>—</w:t>
            </w:r>
          </w:p>
        </w:tc>
        <w:tc>
          <w:tcPr>
            <w:tcW w:type="dxa" w:w="3324"/>
            <w:vAlign w:val="center"/>
          </w:tcPr>
          <w:p>
            <w:r/>
            <w:r>
              <w:rPr>
                <w:b w:val="0"/>
                <w:sz w:val="17"/>
              </w:rPr>
              <w:t>Versión inicial</w:t>
            </w:r>
          </w:p>
        </w:tc>
      </w:tr>
      <w:tr>
        <w:tc>
          <w:tcPr>
            <w:tcW w:type="dxa" w:w="3324"/>
            <w:vAlign w:val="center"/>
          </w:tcPr>
          <w:p>
            <w:r/>
            <w:r>
              <w:rPr>
                <w:b w:val="0"/>
                <w:sz w:val="17"/>
              </w:rPr>
              <w:t>2.0</w:t>
            </w:r>
          </w:p>
        </w:tc>
        <w:tc>
          <w:tcPr>
            <w:tcW w:type="dxa" w:w="3324"/>
            <w:vAlign w:val="center"/>
          </w:tcPr>
          <w:p>
            <w:r/>
            <w:r>
              <w:rPr>
                <w:b w:val="0"/>
                <w:sz w:val="17"/>
              </w:rPr>
              <w:t>Agosto 2026</w:t>
            </w:r>
          </w:p>
        </w:tc>
        <w:tc>
          <w:tcPr>
            <w:tcW w:type="dxa" w:w="3324"/>
            <w:vAlign w:val="center"/>
          </w:tcPr>
          <w:p>
            <w:r/>
            <w:r>
              <w:rPr>
                <w:b w:val="0"/>
                <w:sz w:val="17"/>
              </w:rPr>
              <w:t>Consolidación y mejora integral del SGI: procesos, riesgos, aspectos ambientales, indicadores, responsabilidades y registros.</w:t>
            </w:r>
          </w:p>
        </w:tc>
      </w:tr>
      <w:tr>
        <w:tc>
          <w:tcPr>
            <w:tcW w:type="dxa" w:w="3324"/>
          </w:tcPr>
          <w:p>
            <w:r>
              <w:t>3.0</w:t>
            </w:r>
          </w:p>
        </w:tc>
        <w:tc>
          <w:tcPr>
            <w:tcW w:type="dxa" w:w="3324"/>
          </w:tcPr>
          <w:p>
            <w:r>
              <w:t>Septiembre 2026</w:t>
            </w:r>
          </w:p>
        </w:tc>
        <w:tc>
          <w:tcPr>
            <w:tcW w:type="dxa" w:w="3324"/>
          </w:tcPr>
          <w:p>
            <w:r>
              <w:t>Incorporación explícita del cambio climático en contexto, partes interesadas, riesgos y oportunidades y Revisión por la Dirección.</w:t>
            </w:r>
          </w:p>
        </w:tc>
      </w:tr>
    </w:tbl>
    <w:p/>
    <w:p>
      <w:pPr>
        <w:pStyle w:val="Heading1"/>
      </w:pPr>
      <w:r>
        <w:t>1. Objeto y finalidad</w:t>
      </w:r>
    </w:p>
    <w:p>
      <w:r>
        <w:t>Este Manual define la estructura del Sistema Integrado de Gestión (SGI) de INFUPLAS, estableciendo los criterios para asegurar la calidad de los productos, la satisfacción del cliente, el cumplimiento de requisitos aplicables y la mejora del desempeño ambiental. El SGI integra los requisitos de ISO 9001:2015 e ISO 14001:2015 en una única sistemática de gestión, adaptada a una organización dedicada a la fabricación de film de polietileno.</w:t>
      </w:r>
    </w:p>
    <w:p>
      <w:pPr>
        <w:pStyle w:val="ListBullet"/>
      </w:pPr>
      <w:r>
        <w:t>Asegurar la conformidad del producto y la trazabilidad de fabricación.</w:t>
      </w:r>
    </w:p>
    <w:p>
      <w:pPr>
        <w:pStyle w:val="ListBullet"/>
      </w:pPr>
      <w:r>
        <w:t>Reducir no conformidades, reclamaciones, mermas y reprocesos.</w:t>
      </w:r>
    </w:p>
    <w:p>
      <w:pPr>
        <w:pStyle w:val="ListBullet"/>
      </w:pPr>
      <w:r>
        <w:t>Controlar consumos, residuos, emisiones indirectas y situaciones de emergencia ambiental.</w:t>
      </w:r>
    </w:p>
    <w:p>
      <w:pPr>
        <w:pStyle w:val="ListBullet"/>
      </w:pPr>
      <w:r>
        <w:t>Evaluar riesgos y oportunidades del negocio y del desempeño ambiental.</w:t>
      </w:r>
    </w:p>
    <w:p>
      <w:pPr>
        <w:pStyle w:val="ListBullet"/>
      </w:pPr>
      <w:r>
        <w:t>Promover la mejora continua y la toma de decisiones basada en datos.</w:t>
      </w:r>
    </w:p>
    <w:p>
      <w:pPr>
        <w:pStyle w:val="Heading1"/>
      </w:pPr>
      <w:r>
        <w:t>2. Alcance del Sistema Integrado de Gestión</w:t>
      </w:r>
    </w:p>
    <w:p>
      <w:r>
        <w:t>El SGI aplica a las actividades desarrolladas por INFUPLAS en su centro de Rubí relacionadas con la fabricación de film de polietileno, incluyendo extrusión, corte, bobinado, transformación, control de calidad, almacenamiento, expedición y los procesos de soporte asociados.</w:t>
      </w:r>
    </w:p>
    <w:p>
      <w:r>
        <w:t>Se considera no aplicable el requisito de diseño y desarrollo de ISO 9001 cuando INFUPLAS fabrica de acuerdo con especificaciones definidas por el cliente, fichas técnicas, formulaciones previamente validadas o requisitos acordados, sin desarrollar un producto nuevo bajo un proceso formal de diseño propio.</w:t>
      </w:r>
    </w:p>
    <w:p>
      <w:pPr>
        <w:pStyle w:val="Heading1"/>
      </w:pPr>
      <w:r>
        <w:t>3. Contexto de la organización</w:t>
      </w:r>
    </w:p>
    <w:p>
      <w:pPr>
        <w:pStyle w:val="Heading2"/>
      </w:pPr>
      <w:r>
        <w:t>3.1 Cuestiones internas y externas</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Tipo</w:t>
            </w:r>
          </w:p>
        </w:tc>
        <w:tc>
          <w:tcPr>
            <w:tcW w:type="dxa" w:w="4986"/>
            <w:vAlign w:val="center"/>
            <w:shd w:fill="D9EAF7"/>
          </w:tcPr>
          <w:p>
            <w:r/>
            <w:r>
              <w:rPr>
                <w:b/>
                <w:sz w:val="17"/>
              </w:rPr>
              <w:t>Cuestiones relevantes</w:t>
            </w:r>
          </w:p>
        </w:tc>
      </w:tr>
      <w:tr>
        <w:tc>
          <w:tcPr>
            <w:tcW w:type="dxa" w:w="4986"/>
            <w:vAlign w:val="center"/>
          </w:tcPr>
          <w:p>
            <w:r/>
            <w:r>
              <w:rPr>
                <w:b w:val="0"/>
                <w:sz w:val="17"/>
              </w:rPr>
              <w:t>Internas</w:t>
            </w:r>
          </w:p>
        </w:tc>
        <w:tc>
          <w:tcPr>
            <w:tcW w:type="dxa" w:w="4986"/>
            <w:vAlign w:val="center"/>
          </w:tcPr>
          <w:p>
            <w:r/>
            <w:r>
              <w:rPr>
                <w:b w:val="0"/>
                <w:sz w:val="17"/>
              </w:rPr>
              <w:t>Capacidad productiva, disponibilidad de maquinaria, competencias del personal, mantenimiento, calidad de materias primas, organización documental, eficiencia de proceso, trazabilidad y cultura de mejora.</w:t>
            </w:r>
          </w:p>
        </w:tc>
      </w:tr>
      <w:tr>
        <w:tc>
          <w:tcPr>
            <w:tcW w:type="dxa" w:w="4986"/>
            <w:vAlign w:val="center"/>
          </w:tcPr>
          <w:p>
            <w:r/>
            <w:r>
              <w:rPr>
                <w:b w:val="0"/>
                <w:sz w:val="17"/>
              </w:rPr>
              <w:t>Externas</w:t>
            </w:r>
          </w:p>
        </w:tc>
        <w:tc>
          <w:tcPr>
            <w:tcW w:type="dxa" w:w="4986"/>
            <w:vAlign w:val="center"/>
          </w:tcPr>
          <w:p>
            <w:r/>
            <w:r>
              <w:rPr>
                <w:b w:val="0"/>
                <w:sz w:val="17"/>
              </w:rPr>
              <w:t>Precio y disponibilidad de polímeros, requisitos de clientes, normativa ambiental y de envases, presión por reciclabilidad y contenido reciclado, costes energéticos, logística, competencia y requisitos de gestores/SRAP.</w:t>
            </w:r>
          </w:p>
        </w:tc>
      </w:tr>
    </w:tbl>
    <w:p/>
    <w:p>
      <w:r>
        <w:t>Cambio climático: INFUPLAS determina expresamente si el cambio climático es una cuestión relevante para el propósito y la dirección estratégica del SGI. Se consideran, entre otros, episodios de calor extremo, posibles interrupciones de suministro y transporte, variaciones del consumo y coste energético, requisitos regulatorios y de clientes, y la evolución hacia soluciones con menor impacto ambiental. Para la actividad actual se considera una cuestión externa relevante y se integra en la evaluación de riesgos y oportunidades y en la Revisión por la Dirección.</w:t>
      </w:r>
    </w:p>
    <w:p>
      <w:pPr>
        <w:pStyle w:val="Heading2"/>
      </w:pPr>
      <w:r>
        <w:t>3.2 Partes interesadas</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Parte interesada</w:t>
            </w:r>
          </w:p>
        </w:tc>
        <w:tc>
          <w:tcPr>
            <w:tcW w:type="dxa" w:w="3324"/>
            <w:vAlign w:val="center"/>
            <w:shd w:fill="D9EAF7"/>
          </w:tcPr>
          <w:p>
            <w:r/>
            <w:r>
              <w:rPr>
                <w:b/>
                <w:sz w:val="17"/>
              </w:rPr>
              <w:t>Necesidades / expectativas</w:t>
            </w:r>
          </w:p>
        </w:tc>
        <w:tc>
          <w:tcPr>
            <w:tcW w:type="dxa" w:w="3324"/>
            <w:vAlign w:val="center"/>
            <w:shd w:fill="D9EAF7"/>
          </w:tcPr>
          <w:p>
            <w:r/>
            <w:r>
              <w:rPr>
                <w:b/>
                <w:sz w:val="17"/>
              </w:rPr>
              <w:t>Respuesta del SGI</w:t>
            </w:r>
          </w:p>
        </w:tc>
      </w:tr>
      <w:tr>
        <w:tc>
          <w:tcPr>
            <w:tcW w:type="dxa" w:w="3324"/>
            <w:vAlign w:val="center"/>
          </w:tcPr>
          <w:p>
            <w:r/>
            <w:r>
              <w:rPr>
                <w:b w:val="0"/>
                <w:sz w:val="17"/>
              </w:rPr>
              <w:t>Clientes</w:t>
            </w:r>
          </w:p>
        </w:tc>
        <w:tc>
          <w:tcPr>
            <w:tcW w:type="dxa" w:w="3324"/>
            <w:vAlign w:val="center"/>
          </w:tcPr>
          <w:p>
            <w:r>
              <w:t>Calidad estable, entrega puntual, documentación técnica, cumplimiento legal y, cuando aplique, requisitos sobre huella, eficiencia, reciclabilidad, contenido reciclado y otros compromisos relacionados con el cambio climático.</w:t>
            </w:r>
          </w:p>
        </w:tc>
        <w:tc>
          <w:tcPr>
            <w:tcW w:type="dxa" w:w="3324"/>
            <w:vAlign w:val="center"/>
          </w:tcPr>
          <w:p>
            <w:r>
              <w:t>Especificaciones, controles, trazabilidad, COA, gestión de reclamaciones y seguimiento de plazos; revisión de requisitos climáticos/ambientales comunicados por el cliente.</w:t>
            </w:r>
          </w:p>
        </w:tc>
      </w:tr>
      <w:tr>
        <w:tc>
          <w:tcPr>
            <w:tcW w:type="dxa" w:w="3324"/>
            <w:vAlign w:val="center"/>
          </w:tcPr>
          <w:p>
            <w:r/>
            <w:r>
              <w:rPr>
                <w:b w:val="0"/>
                <w:sz w:val="17"/>
              </w:rPr>
              <w:t>Proveedores</w:t>
            </w:r>
          </w:p>
        </w:tc>
        <w:tc>
          <w:tcPr>
            <w:tcW w:type="dxa" w:w="3324"/>
            <w:vAlign w:val="center"/>
          </w:tcPr>
          <w:p>
            <w:r>
              <w:t>Requisitos claros, relación estable y capacidad de suministro ante riesgos climáticos o logísticos.</w:t>
            </w:r>
          </w:p>
        </w:tc>
        <w:tc>
          <w:tcPr>
            <w:tcW w:type="dxa" w:w="3324"/>
            <w:vAlign w:val="center"/>
          </w:tcPr>
          <w:p>
            <w:r>
              <w:t>Evaluación, homologación, comunicación de requisitos técnicos y ambientales y seguimiento de continuidad de suministro.</w:t>
            </w:r>
          </w:p>
        </w:tc>
      </w:tr>
      <w:tr>
        <w:tc>
          <w:tcPr>
            <w:tcW w:type="dxa" w:w="3324"/>
            <w:vAlign w:val="center"/>
          </w:tcPr>
          <w:p>
            <w:r/>
            <w:r>
              <w:rPr>
                <w:b w:val="0"/>
                <w:sz w:val="17"/>
              </w:rPr>
              <w:t>Personal</w:t>
            </w:r>
          </w:p>
        </w:tc>
        <w:tc>
          <w:tcPr>
            <w:tcW w:type="dxa" w:w="3324"/>
            <w:vAlign w:val="center"/>
          </w:tcPr>
          <w:p>
            <w:r>
              <w:t>Seguridad, formación, instrucciones claras, estabilidad operativa y condiciones adecuadas ante episodios de calor.</w:t>
            </w:r>
          </w:p>
        </w:tc>
        <w:tc>
          <w:tcPr>
            <w:tcW w:type="dxa" w:w="3324"/>
            <w:vAlign w:val="center"/>
          </w:tcPr>
          <w:p>
            <w:r>
              <w:t>Competencias, formación, responsabilidades, procedimientos y medidas organizativas cuando existan condiciones térmicas adversas.</w:t>
            </w:r>
          </w:p>
        </w:tc>
      </w:tr>
      <w:tr>
        <w:tc>
          <w:tcPr>
            <w:tcW w:type="dxa" w:w="3324"/>
            <w:vAlign w:val="center"/>
          </w:tcPr>
          <w:p>
            <w:r/>
            <w:r>
              <w:rPr>
                <w:b w:val="0"/>
                <w:sz w:val="17"/>
              </w:rPr>
              <w:t>Administraciones</w:t>
            </w:r>
          </w:p>
        </w:tc>
        <w:tc>
          <w:tcPr>
            <w:tcW w:type="dxa" w:w="3324"/>
            <w:vAlign w:val="center"/>
          </w:tcPr>
          <w:p>
            <w:r>
              <w:t>Cumplimiento legal, registros, residuos, emisiones/ruido y requisitos que puedan derivarse de políticas climáticas y energéticas.</w:t>
            </w:r>
          </w:p>
        </w:tc>
        <w:tc>
          <w:tcPr>
            <w:tcW w:type="dxa" w:w="3324"/>
            <w:vAlign w:val="center"/>
          </w:tcPr>
          <w:p>
            <w:r>
              <w:t>Matriz legal, controles, evidencias, seguimiento de consumos/emisiones indirectas y revisiones periódicas.</w:t>
            </w:r>
          </w:p>
        </w:tc>
      </w:tr>
      <w:tr>
        <w:tc>
          <w:tcPr>
            <w:tcW w:type="dxa" w:w="3324"/>
            <w:vAlign w:val="center"/>
          </w:tcPr>
          <w:p>
            <w:r/>
            <w:r>
              <w:rPr>
                <w:b w:val="0"/>
                <w:sz w:val="17"/>
              </w:rPr>
              <w:t>Gestores de residuos / SRAP</w:t>
            </w:r>
          </w:p>
        </w:tc>
        <w:tc>
          <w:tcPr>
            <w:tcW w:type="dxa" w:w="3324"/>
            <w:vAlign w:val="center"/>
          </w:tcPr>
          <w:p>
            <w:r/>
            <w:r>
              <w:rPr>
                <w:b w:val="0"/>
                <w:sz w:val="17"/>
              </w:rPr>
              <w:t>Correcta clasificación, documentación y trazabilidad</w:t>
            </w:r>
          </w:p>
        </w:tc>
        <w:tc>
          <w:tcPr>
            <w:tcW w:type="dxa" w:w="3324"/>
            <w:vAlign w:val="center"/>
          </w:tcPr>
          <w:p>
            <w:r/>
            <w:r>
              <w:rPr>
                <w:b w:val="0"/>
                <w:sz w:val="17"/>
              </w:rPr>
              <w:t>Segregación, contratos, justificantes, archivo y control.</w:t>
            </w:r>
          </w:p>
        </w:tc>
      </w:tr>
      <w:tr>
        <w:tc>
          <w:tcPr>
            <w:tcW w:type="dxa" w:w="3324"/>
            <w:vAlign w:val="center"/>
          </w:tcPr>
          <w:p>
            <w:r/>
            <w:r>
              <w:rPr>
                <w:b w:val="0"/>
                <w:sz w:val="17"/>
              </w:rPr>
              <w:t>Dirección / propiedad</w:t>
            </w:r>
          </w:p>
        </w:tc>
        <w:tc>
          <w:tcPr>
            <w:tcW w:type="dxa" w:w="3324"/>
            <w:vAlign w:val="center"/>
          </w:tcPr>
          <w:p>
            <w:r>
              <w:t>Rentabilidad, continuidad, eficiencia, menor riesgo y adaptación a cambios regulatorios, energéticos y de mercado vinculados al cambio climático.</w:t>
            </w:r>
          </w:p>
        </w:tc>
        <w:tc>
          <w:tcPr>
            <w:tcW w:type="dxa" w:w="3324"/>
            <w:vAlign w:val="center"/>
          </w:tcPr>
          <w:p>
            <w:r>
              <w:t>Objetivos, indicadores, revisión por dirección, análisis de riesgos y planes de acción.</w:t>
            </w:r>
          </w:p>
        </w:tc>
      </w:tr>
      <w:tr>
        <w:tc>
          <w:tcPr>
            <w:tcW w:type="dxa" w:w="3324"/>
          </w:tcPr>
          <w:p>
            <w:r>
              <w:t>Comunidad local</w:t>
            </w:r>
          </w:p>
        </w:tc>
        <w:tc>
          <w:tcPr>
            <w:tcW w:type="dxa" w:w="3324"/>
          </w:tcPr>
          <w:p>
            <w:r>
              <w:t>Protección ambiental, prevención de molestias y respuesta responsable ante impactos ambientales y climáticos.</w:t>
            </w:r>
          </w:p>
        </w:tc>
        <w:tc>
          <w:tcPr>
            <w:tcW w:type="dxa" w:w="3324"/>
          </w:tcPr>
          <w:p>
            <w:r>
              <w:t>Control de ruido, residuos, consumos, emergencias y comunicación cuando proceda.</w:t>
            </w:r>
          </w:p>
        </w:tc>
      </w:tr>
    </w:tbl>
    <w:p/>
    <w:p>
      <w:pPr>
        <w:pStyle w:val="Heading1"/>
      </w:pPr>
      <w:r>
        <w:t>4. Liderazgo, política y responsabilidades</w:t>
      </w:r>
    </w:p>
    <w:p>
      <w:pPr>
        <w:pStyle w:val="Heading2"/>
      </w:pPr>
      <w:r>
        <w:t>4.1 Política integrada</w:t>
      </w:r>
    </w:p>
    <w:p>
      <w:r>
        <w:t>INFUPLAS se compromete a fabricar film de polietileno conforme a los requisitos de sus clientes y a la legislación aplicable, garantizando la eficacia del Sistema Integrado de Gestión y su mejora continua. La organización se compromete a prevenir la contaminación, utilizar de forma eficiente los recursos, controlar sus residuos y consumos, reducir las causas de no conformidad y promover la participación y competencia del personal.</w:t>
      </w:r>
    </w:p>
    <w:p>
      <w:pPr>
        <w:pStyle w:val="ListBullet"/>
      </w:pPr>
      <w:r>
        <w:t>Cumplir los requisitos legales, reglamentarios, contractuales y otros requisitos suscritos.</w:t>
      </w:r>
    </w:p>
    <w:p>
      <w:pPr>
        <w:pStyle w:val="ListBullet"/>
      </w:pPr>
      <w:r>
        <w:t>Asegurar la calidad, uniformidad y trazabilidad del producto.</w:t>
      </w:r>
    </w:p>
    <w:p>
      <w:pPr>
        <w:pStyle w:val="ListBullet"/>
      </w:pPr>
      <w:r>
        <w:t>Prevenir la contaminación y minimizar impactos ambientales significativos.</w:t>
      </w:r>
    </w:p>
    <w:p>
      <w:pPr>
        <w:pStyle w:val="ListBullet"/>
      </w:pPr>
      <w:r>
        <w:t>Optimizar el uso de materias primas, energía y recursos.</w:t>
      </w:r>
    </w:p>
    <w:p>
      <w:pPr>
        <w:pStyle w:val="ListBullet"/>
      </w:pPr>
      <w:r>
        <w:t>Favorecer la valorización de residuos y la prevención de generación de merma.</w:t>
      </w:r>
    </w:p>
    <w:p>
      <w:pPr>
        <w:pStyle w:val="ListBullet"/>
      </w:pPr>
      <w:r>
        <w:t>Establecer objetivos medibles y revisar periódicamente su evolución.</w:t>
      </w:r>
    </w:p>
    <w:p>
      <w:pPr>
        <w:pStyle w:val="Heading2"/>
      </w:pPr>
      <w:r>
        <w:t>4.2 Roles y responsabilidades</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Puesto</w:t>
            </w:r>
          </w:p>
        </w:tc>
        <w:tc>
          <w:tcPr>
            <w:tcW w:type="dxa" w:w="4986"/>
            <w:vAlign w:val="center"/>
            <w:shd w:fill="D9EAF7"/>
          </w:tcPr>
          <w:p>
            <w:r/>
            <w:r>
              <w:rPr>
                <w:b/>
                <w:sz w:val="17"/>
              </w:rPr>
              <w:t>Responsabilidades principales en el SGI</w:t>
            </w:r>
          </w:p>
        </w:tc>
      </w:tr>
      <w:tr>
        <w:tc>
          <w:tcPr>
            <w:tcW w:type="dxa" w:w="4986"/>
            <w:vAlign w:val="center"/>
          </w:tcPr>
          <w:p>
            <w:r/>
            <w:r>
              <w:rPr>
                <w:b w:val="0"/>
                <w:sz w:val="17"/>
              </w:rPr>
              <w:t>Dirección General</w:t>
            </w:r>
          </w:p>
        </w:tc>
        <w:tc>
          <w:tcPr>
            <w:tcW w:type="dxa" w:w="4986"/>
            <w:vAlign w:val="center"/>
          </w:tcPr>
          <w:p>
            <w:r/>
            <w:r>
              <w:rPr>
                <w:b w:val="0"/>
                <w:sz w:val="17"/>
              </w:rPr>
              <w:t>Aprobar política, objetivos y recursos; revisar el SGI; asegurar integración en el negocio; liderar la mejora.</w:t>
            </w:r>
          </w:p>
        </w:tc>
      </w:tr>
      <w:tr>
        <w:tc>
          <w:tcPr>
            <w:tcW w:type="dxa" w:w="4986"/>
            <w:vAlign w:val="center"/>
          </w:tcPr>
          <w:p>
            <w:r/>
            <w:r>
              <w:rPr>
                <w:b w:val="0"/>
                <w:sz w:val="17"/>
              </w:rPr>
              <w:t>Administración y Calidad</w:t>
            </w:r>
          </w:p>
        </w:tc>
        <w:tc>
          <w:tcPr>
            <w:tcW w:type="dxa" w:w="4986"/>
            <w:vAlign w:val="center"/>
          </w:tcPr>
          <w:p>
            <w:r/>
            <w:r>
              <w:rPr>
                <w:b w:val="0"/>
                <w:sz w:val="17"/>
              </w:rPr>
              <w:t>Control documental, requisitos legales, indicadores, auditorías, NC/AC, reclamaciones, homologación documental y coordinación ambiental.</w:t>
            </w:r>
          </w:p>
        </w:tc>
      </w:tr>
      <w:tr>
        <w:tc>
          <w:tcPr>
            <w:tcW w:type="dxa" w:w="4986"/>
            <w:vAlign w:val="center"/>
          </w:tcPr>
          <w:p>
            <w:r/>
            <w:r>
              <w:rPr>
                <w:b w:val="0"/>
                <w:sz w:val="17"/>
              </w:rPr>
              <w:t>Extrusor</w:t>
            </w:r>
          </w:p>
        </w:tc>
        <w:tc>
          <w:tcPr>
            <w:tcW w:type="dxa" w:w="4986"/>
            <w:vAlign w:val="center"/>
          </w:tcPr>
          <w:p>
            <w:r/>
            <w:r>
              <w:rPr>
                <w:b w:val="0"/>
                <w:sz w:val="17"/>
              </w:rPr>
              <w:t>Cumplir parámetros e instrucciones, autocontrol, identificar lotes, registrar incidencias, segregar producto no conforme y minimizar merma.</w:t>
            </w:r>
          </w:p>
        </w:tc>
      </w:tr>
      <w:tr>
        <w:tc>
          <w:tcPr>
            <w:tcW w:type="dxa" w:w="4986"/>
            <w:vAlign w:val="center"/>
          </w:tcPr>
          <w:p>
            <w:r/>
            <w:r>
              <w:rPr>
                <w:b w:val="0"/>
                <w:sz w:val="17"/>
              </w:rPr>
              <w:t>Impresor / transformación</w:t>
            </w:r>
          </w:p>
        </w:tc>
        <w:tc>
          <w:tcPr>
            <w:tcW w:type="dxa" w:w="4986"/>
            <w:vAlign w:val="center"/>
          </w:tcPr>
          <w:p>
            <w:r/>
            <w:r>
              <w:rPr>
                <w:b w:val="0"/>
                <w:sz w:val="17"/>
              </w:rPr>
              <w:t>Aplicar especificaciones, efectuar controles, registrar producción y gestionar residuos/recortes según instrucciones.</w:t>
            </w:r>
          </w:p>
        </w:tc>
      </w:tr>
      <w:tr>
        <w:tc>
          <w:tcPr>
            <w:tcW w:type="dxa" w:w="4986"/>
            <w:vAlign w:val="center"/>
          </w:tcPr>
          <w:p>
            <w:r/>
            <w:r>
              <w:rPr>
                <w:b w:val="0"/>
                <w:sz w:val="17"/>
              </w:rPr>
              <w:t>Mantenimiento</w:t>
            </w:r>
          </w:p>
        </w:tc>
        <w:tc>
          <w:tcPr>
            <w:tcW w:type="dxa" w:w="4986"/>
            <w:vAlign w:val="center"/>
          </w:tcPr>
          <w:p>
            <w:r/>
            <w:r>
              <w:rPr>
                <w:b w:val="0"/>
                <w:sz w:val="17"/>
              </w:rPr>
              <w:t>Mantenimiento preventivo/correctivo, equipos de medición cuando aplique, control de fugas, averías y registros.</w:t>
            </w:r>
          </w:p>
        </w:tc>
      </w:tr>
      <w:tr>
        <w:tc>
          <w:tcPr>
            <w:tcW w:type="dxa" w:w="4986"/>
            <w:vAlign w:val="center"/>
          </w:tcPr>
          <w:p>
            <w:r/>
            <w:r>
              <w:rPr>
                <w:b w:val="0"/>
                <w:sz w:val="17"/>
              </w:rPr>
              <w:t>Comercial</w:t>
            </w:r>
          </w:p>
        </w:tc>
        <w:tc>
          <w:tcPr>
            <w:tcW w:type="dxa" w:w="4986"/>
            <w:vAlign w:val="center"/>
          </w:tcPr>
          <w:p>
            <w:r/>
            <w:r>
              <w:rPr>
                <w:b w:val="0"/>
                <w:sz w:val="17"/>
              </w:rPr>
              <w:t>Revisión de requisitos, comunicación con cliente, especificaciones, cambios, reclamaciones y seguimiento de satisfacción.</w:t>
            </w:r>
          </w:p>
        </w:tc>
      </w:tr>
    </w:tbl>
    <w:p/>
    <w:p>
      <w:pPr>
        <w:pStyle w:val="Heading1"/>
      </w:pPr>
      <w:r>
        <w:t>5. Enfoque a procesos</w:t>
      </w:r>
    </w:p>
    <w:p>
      <w:r>
        <w:t>El SGI se gestiona mediante procesos interrelacionados. Cada proceso dispone de entradas, actividades, responsables, salidas, controles, indicadores y registros asociados.</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Tipo</w:t>
            </w:r>
          </w:p>
        </w:tc>
        <w:tc>
          <w:tcPr>
            <w:tcW w:type="dxa" w:w="4986"/>
            <w:vAlign w:val="center"/>
            <w:shd w:fill="D9EAF7"/>
          </w:tcPr>
          <w:p>
            <w:r/>
            <w:r>
              <w:rPr>
                <w:b/>
                <w:sz w:val="17"/>
              </w:rPr>
              <w:t>Procesos</w:t>
            </w:r>
          </w:p>
        </w:tc>
      </w:tr>
      <w:tr>
        <w:tc>
          <w:tcPr>
            <w:tcW w:type="dxa" w:w="4986"/>
            <w:vAlign w:val="center"/>
          </w:tcPr>
          <w:p>
            <w:r/>
            <w:r>
              <w:rPr>
                <w:b w:val="0"/>
                <w:sz w:val="17"/>
              </w:rPr>
              <w:t>Estratégicos</w:t>
            </w:r>
          </w:p>
        </w:tc>
        <w:tc>
          <w:tcPr>
            <w:tcW w:type="dxa" w:w="4986"/>
            <w:vAlign w:val="center"/>
          </w:tcPr>
          <w:p>
            <w:r/>
            <w:r>
              <w:rPr>
                <w:b w:val="0"/>
                <w:sz w:val="17"/>
              </w:rPr>
              <w:t>Dirección, planificación, riesgos y oportunidades, objetivos, revisión por dirección.</w:t>
            </w:r>
          </w:p>
        </w:tc>
      </w:tr>
      <w:tr>
        <w:tc>
          <w:tcPr>
            <w:tcW w:type="dxa" w:w="4986"/>
            <w:vAlign w:val="center"/>
          </w:tcPr>
          <w:p>
            <w:r/>
            <w:r>
              <w:rPr>
                <w:b w:val="0"/>
                <w:sz w:val="17"/>
              </w:rPr>
              <w:t>Operativos</w:t>
            </w:r>
          </w:p>
        </w:tc>
        <w:tc>
          <w:tcPr>
            <w:tcW w:type="dxa" w:w="4986"/>
            <w:vAlign w:val="center"/>
          </w:tcPr>
          <w:p>
            <w:r/>
            <w:r>
              <w:rPr>
                <w:b w:val="0"/>
                <w:sz w:val="17"/>
              </w:rPr>
              <w:t>Comercial y revisión de requisitos; compras; recepción; extrusión; corte/bobinado/transformación; control de calidad; almacenamiento y expedición.</w:t>
            </w:r>
          </w:p>
        </w:tc>
      </w:tr>
      <w:tr>
        <w:tc>
          <w:tcPr>
            <w:tcW w:type="dxa" w:w="4986"/>
            <w:vAlign w:val="center"/>
          </w:tcPr>
          <w:p>
            <w:r/>
            <w:r>
              <w:rPr>
                <w:b w:val="0"/>
                <w:sz w:val="17"/>
              </w:rPr>
              <w:t>Soporte</w:t>
            </w:r>
          </w:p>
        </w:tc>
        <w:tc>
          <w:tcPr>
            <w:tcW w:type="dxa" w:w="4986"/>
            <w:vAlign w:val="center"/>
          </w:tcPr>
          <w:p>
            <w:r/>
            <w:r>
              <w:rPr>
                <w:b w:val="0"/>
                <w:sz w:val="17"/>
              </w:rPr>
              <w:t>RRHH y formación; mantenimiento; control documental; gestión de equipos de medición; gestión ambiental; residuos; emergencias; comunicación.</w:t>
            </w:r>
          </w:p>
        </w:tc>
      </w:tr>
      <w:tr>
        <w:tc>
          <w:tcPr>
            <w:tcW w:type="dxa" w:w="4986"/>
            <w:vAlign w:val="center"/>
          </w:tcPr>
          <w:p>
            <w:r/>
            <w:r>
              <w:rPr>
                <w:b w:val="0"/>
                <w:sz w:val="17"/>
              </w:rPr>
              <w:t>Evaluación y mejora</w:t>
            </w:r>
          </w:p>
        </w:tc>
        <w:tc>
          <w:tcPr>
            <w:tcW w:type="dxa" w:w="4986"/>
            <w:vAlign w:val="center"/>
          </w:tcPr>
          <w:p>
            <w:r/>
            <w:r>
              <w:rPr>
                <w:b w:val="0"/>
                <w:sz w:val="17"/>
              </w:rPr>
              <w:t>Indicadores, satisfacción de cliente, reclamaciones, no conformidades, acciones correctivas, auditoría interna, evaluación de proveedores.</w:t>
            </w:r>
          </w:p>
        </w:tc>
      </w:tr>
    </w:tbl>
    <w:p/>
    <w:p>
      <w:pPr>
        <w:pStyle w:val="Heading1"/>
      </w:pPr>
      <w:r>
        <w:t>6. Riesgos y oportunidades</w:t>
      </w:r>
    </w:p>
    <w:p>
      <w:r>
        <w:t>INFUPLAS mantiene una evaluación documentada de riesgos y oportunidades, revisada al menos anualmente y ante cambios significativos. La valoración puede considerar probabilidad, impacto y eficacia de los controles existentes.</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Riesgo / oportunidad</w:t>
            </w:r>
          </w:p>
        </w:tc>
        <w:tc>
          <w:tcPr>
            <w:tcW w:type="dxa" w:w="3324"/>
            <w:vAlign w:val="center"/>
            <w:shd w:fill="D9EAF7"/>
          </w:tcPr>
          <w:p>
            <w:r/>
            <w:r>
              <w:rPr>
                <w:b/>
                <w:sz w:val="17"/>
              </w:rPr>
              <w:t>Efecto</w:t>
            </w:r>
          </w:p>
        </w:tc>
        <w:tc>
          <w:tcPr>
            <w:tcW w:type="dxa" w:w="3324"/>
            <w:vAlign w:val="center"/>
            <w:shd w:fill="D9EAF7"/>
          </w:tcPr>
          <w:p>
            <w:r/>
            <w:r>
              <w:rPr>
                <w:b/>
                <w:sz w:val="17"/>
              </w:rPr>
              <w:t>Controles / acciones</w:t>
            </w:r>
          </w:p>
        </w:tc>
      </w:tr>
      <w:tr>
        <w:tc>
          <w:tcPr>
            <w:tcW w:type="dxa" w:w="3324"/>
            <w:vAlign w:val="center"/>
          </w:tcPr>
          <w:p>
            <w:r/>
            <w:r>
              <w:rPr>
                <w:b w:val="0"/>
                <w:sz w:val="17"/>
              </w:rPr>
              <w:t>Variabilidad de materia prima</w:t>
            </w:r>
          </w:p>
        </w:tc>
        <w:tc>
          <w:tcPr>
            <w:tcW w:type="dxa" w:w="3324"/>
            <w:vAlign w:val="center"/>
          </w:tcPr>
          <w:p>
            <w:r/>
            <w:r>
              <w:rPr>
                <w:b w:val="0"/>
                <w:sz w:val="17"/>
              </w:rPr>
              <w:t>Defectos, roturas, reclamaciones</w:t>
            </w:r>
          </w:p>
        </w:tc>
        <w:tc>
          <w:tcPr>
            <w:tcW w:type="dxa" w:w="3324"/>
            <w:vAlign w:val="center"/>
          </w:tcPr>
          <w:p>
            <w:r/>
            <w:r>
              <w:rPr>
                <w:b w:val="0"/>
                <w:sz w:val="17"/>
              </w:rPr>
              <w:t>Homologación, COA, controles de recepción, trazabilidad y pruebas de proceso.</w:t>
            </w:r>
          </w:p>
        </w:tc>
      </w:tr>
      <w:tr>
        <w:tc>
          <w:tcPr>
            <w:tcW w:type="dxa" w:w="3324"/>
            <w:vAlign w:val="center"/>
          </w:tcPr>
          <w:p>
            <w:r/>
            <w:r>
              <w:rPr>
                <w:b w:val="0"/>
                <w:sz w:val="17"/>
              </w:rPr>
              <w:t>Avería de extrusora</w:t>
            </w:r>
          </w:p>
        </w:tc>
        <w:tc>
          <w:tcPr>
            <w:tcW w:type="dxa" w:w="3324"/>
            <w:vAlign w:val="center"/>
          </w:tcPr>
          <w:p>
            <w:r/>
            <w:r>
              <w:rPr>
                <w:b w:val="0"/>
                <w:sz w:val="17"/>
              </w:rPr>
              <w:t>Parada y retrasos</w:t>
            </w:r>
          </w:p>
        </w:tc>
        <w:tc>
          <w:tcPr>
            <w:tcW w:type="dxa" w:w="3324"/>
            <w:vAlign w:val="center"/>
          </w:tcPr>
          <w:p>
            <w:r/>
            <w:r>
              <w:rPr>
                <w:b w:val="0"/>
                <w:sz w:val="17"/>
              </w:rPr>
              <w:t>Mantenimiento preventivo, repuestos críticos y priorización de órdenes.</w:t>
            </w:r>
          </w:p>
        </w:tc>
      </w:tr>
      <w:tr>
        <w:tc>
          <w:tcPr>
            <w:tcW w:type="dxa" w:w="3324"/>
            <w:vAlign w:val="center"/>
          </w:tcPr>
          <w:p>
            <w:r/>
            <w:r>
              <w:rPr>
                <w:b w:val="0"/>
                <w:sz w:val="17"/>
              </w:rPr>
              <w:t>Error de formulación / identificación</w:t>
            </w:r>
          </w:p>
        </w:tc>
        <w:tc>
          <w:tcPr>
            <w:tcW w:type="dxa" w:w="3324"/>
            <w:vAlign w:val="center"/>
          </w:tcPr>
          <w:p>
            <w:r/>
            <w:r>
              <w:rPr>
                <w:b w:val="0"/>
                <w:sz w:val="17"/>
              </w:rPr>
              <w:t>Producto fuera de especificación</w:t>
            </w:r>
          </w:p>
        </w:tc>
        <w:tc>
          <w:tcPr>
            <w:tcW w:type="dxa" w:w="3324"/>
            <w:vAlign w:val="center"/>
          </w:tcPr>
          <w:p>
            <w:r/>
            <w:r>
              <w:rPr>
                <w:b w:val="0"/>
                <w:sz w:val="17"/>
              </w:rPr>
              <w:t>Órdenes de fabricación, identificación de lotes, doble verificación y registros.</w:t>
            </w:r>
          </w:p>
        </w:tc>
      </w:tr>
      <w:tr>
        <w:tc>
          <w:tcPr>
            <w:tcW w:type="dxa" w:w="3324"/>
            <w:vAlign w:val="center"/>
          </w:tcPr>
          <w:p>
            <w:r/>
            <w:r>
              <w:rPr>
                <w:b w:val="0"/>
                <w:sz w:val="17"/>
              </w:rPr>
              <w:t>Incremento de coste energético</w:t>
            </w:r>
          </w:p>
        </w:tc>
        <w:tc>
          <w:tcPr>
            <w:tcW w:type="dxa" w:w="3324"/>
            <w:vAlign w:val="center"/>
          </w:tcPr>
          <w:p>
            <w:r/>
            <w:r>
              <w:rPr>
                <w:b w:val="0"/>
                <w:sz w:val="17"/>
              </w:rPr>
              <w:t>Impacto económico y ambiental</w:t>
            </w:r>
          </w:p>
        </w:tc>
        <w:tc>
          <w:tcPr>
            <w:tcW w:type="dxa" w:w="3324"/>
            <w:vAlign w:val="center"/>
          </w:tcPr>
          <w:p>
            <w:r/>
            <w:r>
              <w:rPr>
                <w:b w:val="0"/>
                <w:sz w:val="17"/>
              </w:rPr>
              <w:t>Seguimiento kWh/kg, mantenimiento y mejora de eficiencia.</w:t>
            </w:r>
          </w:p>
        </w:tc>
      </w:tr>
      <w:tr>
        <w:tc>
          <w:tcPr>
            <w:tcW w:type="dxa" w:w="3324"/>
            <w:vAlign w:val="center"/>
          </w:tcPr>
          <w:p>
            <w:r/>
            <w:r>
              <w:rPr>
                <w:b w:val="0"/>
                <w:sz w:val="17"/>
              </w:rPr>
              <w:t>Cambios regulatorios PPWR / residuos</w:t>
            </w:r>
          </w:p>
        </w:tc>
        <w:tc>
          <w:tcPr>
            <w:tcW w:type="dxa" w:w="3324"/>
            <w:vAlign w:val="center"/>
          </w:tcPr>
          <w:p>
            <w:r/>
            <w:r>
              <w:rPr>
                <w:b w:val="0"/>
                <w:sz w:val="17"/>
              </w:rPr>
              <w:t>Incumplimiento o pérdida de mercado</w:t>
            </w:r>
          </w:p>
        </w:tc>
        <w:tc>
          <w:tcPr>
            <w:tcW w:type="dxa" w:w="3324"/>
            <w:vAlign w:val="center"/>
          </w:tcPr>
          <w:p>
            <w:r/>
            <w:r>
              <w:rPr>
                <w:b w:val="0"/>
                <w:sz w:val="17"/>
              </w:rPr>
              <w:t>Seguimiento legal, actualización documental y comunicación a clientes.</w:t>
            </w:r>
          </w:p>
        </w:tc>
      </w:tr>
      <w:tr>
        <w:tc>
          <w:tcPr>
            <w:tcW w:type="dxa" w:w="3324"/>
            <w:vAlign w:val="center"/>
          </w:tcPr>
          <w:p>
            <w:r/>
            <w:r>
              <w:rPr>
                <w:b w:val="0"/>
                <w:sz w:val="17"/>
              </w:rPr>
              <w:t>Aumento de demanda de reciclabilidad</w:t>
            </w:r>
          </w:p>
        </w:tc>
        <w:tc>
          <w:tcPr>
            <w:tcW w:type="dxa" w:w="3324"/>
            <w:vAlign w:val="center"/>
          </w:tcPr>
          <w:p>
            <w:r/>
            <w:r>
              <w:rPr>
                <w:b w:val="0"/>
                <w:sz w:val="17"/>
              </w:rPr>
              <w:t>Oportunidad comercial</w:t>
            </w:r>
          </w:p>
        </w:tc>
        <w:tc>
          <w:tcPr>
            <w:tcW w:type="dxa" w:w="3324"/>
            <w:vAlign w:val="center"/>
          </w:tcPr>
          <w:p>
            <w:r/>
            <w:r>
              <w:rPr>
                <w:b w:val="0"/>
                <w:sz w:val="17"/>
              </w:rPr>
              <w:t>Desarrollo de soluciones monomateriales y documentación de conformidad.</w:t>
            </w:r>
          </w:p>
        </w:tc>
      </w:tr>
      <w:tr>
        <w:tc>
          <w:tcPr>
            <w:tcW w:type="dxa" w:w="3324"/>
          </w:tcPr>
          <w:p>
            <w:r>
              <w:t>Cambio climático / fenómenos meteorológicos extremos</w:t>
            </w:r>
          </w:p>
        </w:tc>
        <w:tc>
          <w:tcPr>
            <w:tcW w:type="dxa" w:w="3324"/>
          </w:tcPr>
          <w:p>
            <w:r>
              <w:t>Incremento de consumo energético, afectación a condiciones de trabajo/equipos, interrupciones logísticas o de suministro y nuevos requisitos de clientes o legales.</w:t>
            </w:r>
          </w:p>
        </w:tc>
        <w:tc>
          <w:tcPr>
            <w:tcW w:type="dxa" w:w="3324"/>
          </w:tcPr>
          <w:p>
            <w:r>
              <w:t>Seguimiento kWh/kg y condiciones de producción; mantenimiento preventivo; evaluación de proveedores y continuidad de suministro; seguimiento legal y de requisitos de cliente; revisión anual en Dirección.</w:t>
            </w:r>
          </w:p>
        </w:tc>
      </w:tr>
    </w:tbl>
    <w:p/>
    <w:p>
      <w:pPr>
        <w:pStyle w:val="Heading1"/>
      </w:pPr>
      <w:r>
        <w:t>7. Recursos, competencia y documentación</w:t>
      </w:r>
    </w:p>
    <w:p>
      <w:pPr>
        <w:pStyle w:val="Heading2"/>
      </w:pPr>
      <w:r>
        <w:t>7.1 Recursos y mantenimiento</w:t>
      </w:r>
    </w:p>
    <w:p>
      <w:r>
        <w:t>Los equipos e instalaciones necesarios para la conformidad del producto se mantienen mediante un plan de mantenimiento preventivo y correctivo. Se registran averías, intervenciones, verificaciones y, cuando corresponda, calibraciones o comprobaciones de equipos de medición.</w:t>
      </w:r>
    </w:p>
    <w:p>
      <w:r>
        <w:t>Controles prioritarios 2026: certificación/adecuación de compresores según clasificación ABC antes del 05/09/2026, medición de ruido externo y control trimestral documentado de extintores.</w:t>
      </w:r>
    </w:p>
    <w:p>
      <w:pPr>
        <w:pStyle w:val="Heading2"/>
      </w:pPr>
      <w:r>
        <w:t>7.2 Competencia y formación</w:t>
      </w:r>
    </w:p>
    <w:p>
      <w:pPr>
        <w:pStyle w:val="ListBullet"/>
      </w:pPr>
      <w:r>
        <w:t>Definir competencias mínimas por puesto.</w:t>
      </w:r>
    </w:p>
    <w:p>
      <w:pPr>
        <w:pStyle w:val="ListBullet"/>
      </w:pPr>
      <w:r>
        <w:t>Registrar formación inicial, cambios de puesto y formación periódica.</w:t>
      </w:r>
    </w:p>
    <w:p>
      <w:pPr>
        <w:pStyle w:val="ListBullet"/>
      </w:pPr>
      <w:r>
        <w:t>Evaluar eficacia de la formación cuando sea relevante para calidad o medio ambiente.</w:t>
      </w:r>
    </w:p>
    <w:p>
      <w:pPr>
        <w:pStyle w:val="ListBullet"/>
      </w:pPr>
      <w:r>
        <w:t>Mantener registros de autorizaciones, experiencia y cualificación necesaria.</w:t>
      </w:r>
    </w:p>
    <w:p>
      <w:pPr>
        <w:pStyle w:val="Heading2"/>
      </w:pPr>
      <w:r>
        <w:t>7.3 Control de la información documentada</w:t>
      </w:r>
    </w:p>
    <w:p>
      <w:r>
        <w:t>La documentación se identifica mediante código, título, versión y fecha. Los documentos vigentes deben estar disponibles en los puntos de uso. Las versiones obsoletas se retiran o identifican para evitar su uso involuntario. Los registros se conservan durante el plazo definido por INFUPLAS o por requisito legal/contractual.</w:t>
      </w:r>
    </w:p>
    <w:p>
      <w:pPr>
        <w:pStyle w:val="Heading1"/>
      </w:pPr>
      <w:r>
        <w:t>8. Gestión operativa</w:t>
      </w:r>
    </w:p>
    <w:p>
      <w:pPr>
        <w:pStyle w:val="Heading2"/>
      </w:pPr>
      <w:r>
        <w:t>8.1 Comercial y revisión de requisitos</w:t>
      </w:r>
    </w:p>
    <w:p>
      <w:pPr>
        <w:ind w:left="397" w:hanging="283"/>
      </w:pPr>
      <w:r>
        <w:rPr>
          <w:b/>
        </w:rPr>
        <w:t xml:space="preserve">1. </w:t>
      </w:r>
      <w:r>
        <w:t>Recibir requisitos del cliente: material, espesor, ancho, tratamiento, presentación, tolerancias, color, impresión y requisitos documentales.</w:t>
      </w:r>
    </w:p>
    <w:p>
      <w:pPr>
        <w:ind w:left="397" w:hanging="283"/>
      </w:pPr>
      <w:r>
        <w:rPr>
          <w:b/>
        </w:rPr>
        <w:t xml:space="preserve">2. </w:t>
      </w:r>
      <w:r>
        <w:t>Revisar capacidad técnica, plazo, materia prima y requisitos legales aplicables.</w:t>
      </w:r>
    </w:p>
    <w:p>
      <w:pPr>
        <w:ind w:left="397" w:hanging="283"/>
      </w:pPr>
      <w:r>
        <w:rPr>
          <w:b/>
        </w:rPr>
        <w:t xml:space="preserve">3. </w:t>
      </w:r>
      <w:r>
        <w:t>Confirmar oferta/pedido y comunicar cambios a producción y compras.</w:t>
      </w:r>
    </w:p>
    <w:p>
      <w:pPr>
        <w:ind w:left="397" w:hanging="283"/>
      </w:pPr>
      <w:r>
        <w:rPr>
          <w:b/>
        </w:rPr>
        <w:t xml:space="preserve">4. </w:t>
      </w:r>
      <w:r>
        <w:t>Registrar reclamaciones, devoluciones y feedback del cliente.</w:t>
      </w:r>
    </w:p>
    <w:p>
      <w:r>
        <w:br w:type="page"/>
      </w:r>
    </w:p>
    <w:p>
      <w:pPr>
        <w:pStyle w:val="Heading2"/>
      </w:pPr>
      <w:r>
        <w:t>8.2 Compras y evaluación de proveedores</w:t>
      </w:r>
    </w:p>
    <w:p>
      <w:r>
        <w:t>Los proveedores críticos se evalúan según desempeño. La ponderación recomendada es: Calidad 30 %, Plazos 20 %, Incidencias 20 %, Servicio 10 %, desempeño ambiental 10 % y Competitividad 10 %.</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Puntuación</w:t>
            </w:r>
          </w:p>
        </w:tc>
        <w:tc>
          <w:tcPr>
            <w:tcW w:type="dxa" w:w="3324"/>
            <w:vAlign w:val="center"/>
            <w:shd w:fill="D9EAF7"/>
          </w:tcPr>
          <w:p>
            <w:r/>
            <w:r>
              <w:rPr>
                <w:b/>
                <w:sz w:val="17"/>
              </w:rPr>
              <w:t>Clasificación</w:t>
            </w:r>
          </w:p>
        </w:tc>
        <w:tc>
          <w:tcPr>
            <w:tcW w:type="dxa" w:w="3324"/>
            <w:vAlign w:val="center"/>
            <w:shd w:fill="D9EAF7"/>
          </w:tcPr>
          <w:p>
            <w:r/>
            <w:r>
              <w:rPr>
                <w:b/>
                <w:sz w:val="17"/>
              </w:rPr>
              <w:t>Criterio de actuación</w:t>
            </w:r>
          </w:p>
        </w:tc>
      </w:tr>
      <w:tr>
        <w:tc>
          <w:tcPr>
            <w:tcW w:type="dxa" w:w="3324"/>
            <w:vAlign w:val="center"/>
          </w:tcPr>
          <w:p>
            <w:r/>
            <w:r>
              <w:rPr>
                <w:b w:val="0"/>
                <w:sz w:val="17"/>
              </w:rPr>
              <w:t>≥ 90</w:t>
            </w:r>
          </w:p>
        </w:tc>
        <w:tc>
          <w:tcPr>
            <w:tcW w:type="dxa" w:w="3324"/>
            <w:vAlign w:val="center"/>
          </w:tcPr>
          <w:p>
            <w:r/>
            <w:r>
              <w:rPr>
                <w:b w:val="0"/>
                <w:sz w:val="17"/>
              </w:rPr>
              <w:t>Excelente</w:t>
            </w:r>
          </w:p>
        </w:tc>
        <w:tc>
          <w:tcPr>
            <w:tcW w:type="dxa" w:w="3324"/>
            <w:vAlign w:val="center"/>
          </w:tcPr>
          <w:p>
            <w:r/>
            <w:r>
              <w:rPr>
                <w:b w:val="0"/>
                <w:sz w:val="17"/>
              </w:rPr>
              <w:t>Mantener homologado.</w:t>
            </w:r>
          </w:p>
        </w:tc>
      </w:tr>
      <w:tr>
        <w:tc>
          <w:tcPr>
            <w:tcW w:type="dxa" w:w="3324"/>
            <w:vAlign w:val="center"/>
          </w:tcPr>
          <w:p>
            <w:r/>
            <w:r>
              <w:rPr>
                <w:b w:val="0"/>
                <w:sz w:val="17"/>
              </w:rPr>
              <w:t>75–89</w:t>
            </w:r>
          </w:p>
        </w:tc>
        <w:tc>
          <w:tcPr>
            <w:tcW w:type="dxa" w:w="3324"/>
            <w:vAlign w:val="center"/>
          </w:tcPr>
          <w:p>
            <w:r/>
            <w:r>
              <w:rPr>
                <w:b w:val="0"/>
                <w:sz w:val="17"/>
              </w:rPr>
              <w:t>Aceptable</w:t>
            </w:r>
          </w:p>
        </w:tc>
        <w:tc>
          <w:tcPr>
            <w:tcW w:type="dxa" w:w="3324"/>
            <w:vAlign w:val="center"/>
          </w:tcPr>
          <w:p>
            <w:r/>
            <w:r>
              <w:rPr>
                <w:b w:val="0"/>
                <w:sz w:val="17"/>
              </w:rPr>
              <w:t>Mantener y realizar seguimiento normal.</w:t>
            </w:r>
          </w:p>
        </w:tc>
      </w:tr>
      <w:tr>
        <w:tc>
          <w:tcPr>
            <w:tcW w:type="dxa" w:w="3324"/>
            <w:vAlign w:val="center"/>
          </w:tcPr>
          <w:p>
            <w:r/>
            <w:r>
              <w:rPr>
                <w:b w:val="0"/>
                <w:sz w:val="17"/>
              </w:rPr>
              <w:t>60–74</w:t>
            </w:r>
          </w:p>
        </w:tc>
        <w:tc>
          <w:tcPr>
            <w:tcW w:type="dxa" w:w="3324"/>
            <w:vAlign w:val="center"/>
          </w:tcPr>
          <w:p>
            <w:r/>
            <w:r>
              <w:rPr>
                <w:b w:val="0"/>
                <w:sz w:val="17"/>
              </w:rPr>
              <w:t>Condicionado</w:t>
            </w:r>
          </w:p>
        </w:tc>
        <w:tc>
          <w:tcPr>
            <w:tcW w:type="dxa" w:w="3324"/>
            <w:vAlign w:val="center"/>
          </w:tcPr>
          <w:p>
            <w:r/>
            <w:r>
              <w:rPr>
                <w:b w:val="0"/>
                <w:sz w:val="17"/>
              </w:rPr>
              <w:t>Plan de mejora y seguimiento reforzado.</w:t>
            </w:r>
          </w:p>
        </w:tc>
      </w:tr>
      <w:tr>
        <w:tc>
          <w:tcPr>
            <w:tcW w:type="dxa" w:w="3324"/>
            <w:vAlign w:val="center"/>
          </w:tcPr>
          <w:p>
            <w:r/>
            <w:r>
              <w:rPr>
                <w:b w:val="0"/>
                <w:sz w:val="17"/>
              </w:rPr>
              <w:t>&lt; 60</w:t>
            </w:r>
          </w:p>
        </w:tc>
        <w:tc>
          <w:tcPr>
            <w:tcW w:type="dxa" w:w="3324"/>
            <w:vAlign w:val="center"/>
          </w:tcPr>
          <w:p>
            <w:r/>
            <w:r>
              <w:rPr>
                <w:b w:val="0"/>
                <w:sz w:val="17"/>
              </w:rPr>
              <w:t>No apto</w:t>
            </w:r>
          </w:p>
        </w:tc>
        <w:tc>
          <w:tcPr>
            <w:tcW w:type="dxa" w:w="3324"/>
            <w:vAlign w:val="center"/>
          </w:tcPr>
          <w:p>
            <w:r/>
            <w:r>
              <w:rPr>
                <w:b w:val="0"/>
                <w:sz w:val="17"/>
              </w:rPr>
              <w:t>Bloqueo o autorización excepcional documentada.</w:t>
            </w:r>
          </w:p>
        </w:tc>
      </w:tr>
    </w:tbl>
    <w:p/>
    <w:p>
      <w:r>
        <w:t>La evaluación debe aplicarse de forma proporcionada a los proveedores activos y críticos. Para la base disponible de 798 proveedores, se recomienda priorizar por volumen, criticidad y recurrencia.</w:t>
      </w:r>
    </w:p>
    <w:p>
      <w:pPr>
        <w:pStyle w:val="Heading2"/>
      </w:pPr>
      <w:r>
        <w:t>8.3 Producción y control de calidad</w:t>
      </w:r>
    </w:p>
    <w:p>
      <w:pPr>
        <w:pStyle w:val="ListBullet"/>
      </w:pPr>
      <w:r>
        <w:t>Emitir y controlar orden de fabricación.</w:t>
      </w:r>
    </w:p>
    <w:p>
      <w:pPr>
        <w:pStyle w:val="ListBullet"/>
      </w:pPr>
      <w:r>
        <w:t>Verificar materia prima y lote antes de iniciar.</w:t>
      </w:r>
    </w:p>
    <w:p>
      <w:pPr>
        <w:pStyle w:val="ListBullet"/>
      </w:pPr>
      <w:r>
        <w:t>Ajustar parámetros de extrusión según ficha o estándar aprobado.</w:t>
      </w:r>
    </w:p>
    <w:p>
      <w:pPr>
        <w:pStyle w:val="ListBullet"/>
      </w:pPr>
      <w:r>
        <w:t>Realizar controles de espesor, ancho, bobinado, apariencia, tratamiento y otras características definidas.</w:t>
      </w:r>
    </w:p>
    <w:p>
      <w:pPr>
        <w:pStyle w:val="ListBullet"/>
      </w:pPr>
      <w:r>
        <w:t>Identificar producto y mantener trazabilidad entre materia prima, orden, producción y expedición.</w:t>
      </w:r>
    </w:p>
    <w:p>
      <w:pPr>
        <w:pStyle w:val="ListBullet"/>
      </w:pPr>
      <w:r>
        <w:t>Segregar e identificar producto no conforme.</w:t>
      </w:r>
    </w:p>
    <w:p>
      <w:pPr>
        <w:pStyle w:val="ListBullet"/>
      </w:pPr>
      <w:r>
        <w:t>Registrar merma, reproceso, incidencias y paradas relevantes.</w:t>
      </w:r>
    </w:p>
    <w:p>
      <w:pPr>
        <w:pStyle w:val="Heading2"/>
      </w:pPr>
      <w:r>
        <w:t>8.4 Liberación, almacenamiento y expedición</w:t>
      </w:r>
    </w:p>
    <w:p>
      <w:r>
        <w:t>El producto se libera una vez completados los controles definidos y comprobada la conformidad. El almacenamiento debe evitar contaminación, deterioro o mezcla de referencias. La expedición verifica referencia, cantidad, identificación y documentación asociada.</w:t>
      </w:r>
    </w:p>
    <w:p>
      <w:pPr>
        <w:pStyle w:val="Heading1"/>
      </w:pPr>
      <w:r>
        <w:t>9. No conformidades, reclamaciones y acciones correctivas</w:t>
      </w:r>
    </w:p>
    <w:p>
      <w:pPr>
        <w:ind w:left="397" w:hanging="283"/>
      </w:pPr>
      <w:r>
        <w:rPr>
          <w:b/>
        </w:rPr>
        <w:t xml:space="preserve">1. </w:t>
      </w:r>
      <w:r>
        <w:t>Identificar y contener la no conformidad.</w:t>
      </w:r>
    </w:p>
    <w:p>
      <w:pPr>
        <w:ind w:left="397" w:hanging="283"/>
      </w:pPr>
      <w:r>
        <w:rPr>
          <w:b/>
        </w:rPr>
        <w:t xml:space="preserve">2. </w:t>
      </w:r>
      <w:r>
        <w:t>Evaluar impacto y decidir disposición: reproceso, reclasificación, aceptación autorizada o rechazo.</w:t>
      </w:r>
    </w:p>
    <w:p>
      <w:pPr>
        <w:ind w:left="397" w:hanging="283"/>
      </w:pPr>
      <w:r>
        <w:rPr>
          <w:b/>
        </w:rPr>
        <w:t xml:space="preserve">3. </w:t>
      </w:r>
      <w:r>
        <w:t>Analizar causa cuando la relevancia lo requiera.</w:t>
      </w:r>
    </w:p>
    <w:p>
      <w:pPr>
        <w:ind w:left="397" w:hanging="283"/>
      </w:pPr>
      <w:r>
        <w:rPr>
          <w:b/>
        </w:rPr>
        <w:t xml:space="preserve">4. </w:t>
      </w:r>
      <w:r>
        <w:t>Definir acción correctiva para evitar recurrencia.</w:t>
      </w:r>
    </w:p>
    <w:p>
      <w:pPr>
        <w:ind w:left="397" w:hanging="283"/>
      </w:pPr>
      <w:r>
        <w:rPr>
          <w:b/>
        </w:rPr>
        <w:t xml:space="preserve">5. </w:t>
      </w:r>
      <w:r>
        <w:t>Asignar responsable y plazo.</w:t>
      </w:r>
    </w:p>
    <w:p>
      <w:pPr>
        <w:ind w:left="397" w:hanging="283"/>
      </w:pPr>
      <w:r>
        <w:rPr>
          <w:b/>
        </w:rPr>
        <w:t xml:space="preserve">6. </w:t>
      </w:r>
      <w:r>
        <w:t>Verificar la eficacia de la acción.</w:t>
      </w:r>
    </w:p>
    <w:p>
      <w:pPr>
        <w:ind w:left="397" w:hanging="283"/>
      </w:pPr>
      <w:r>
        <w:rPr>
          <w:b/>
        </w:rPr>
        <w:t xml:space="preserve">7. </w:t>
      </w:r>
      <w:r>
        <w:t>Actualizar riesgos, instrucciones o formación cuando proceda.</w:t>
      </w:r>
    </w:p>
    <w:p>
      <w:r>
        <w:t>Las reclamaciones de cliente se tratan como una fuente prioritaria de mejora y deben quedar vinculadas, cuando aplique, a lote, orden de fabricación, causa, respuesta y acción adoptada.</w:t>
      </w:r>
    </w:p>
    <w:p>
      <w:pPr>
        <w:pStyle w:val="Heading1"/>
      </w:pPr>
      <w:r>
        <w:t>10. Gestión ambiental</w:t>
      </w:r>
    </w:p>
    <w:p>
      <w:pPr>
        <w:pStyle w:val="Heading2"/>
      </w:pPr>
      <w:r>
        <w:t>10.1 Aspectos ambientales</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trPr>
        <w:tc>
          <w:tcPr>
            <w:tcW w:type="dxa" w:w="2493"/>
            <w:vAlign w:val="center"/>
            <w:shd w:fill="D9EAF7"/>
          </w:tcPr>
          <w:p>
            <w:r/>
            <w:r>
              <w:rPr>
                <w:b/>
                <w:sz w:val="17"/>
              </w:rPr>
              <w:t>Actividad</w:t>
            </w:r>
          </w:p>
        </w:tc>
        <w:tc>
          <w:tcPr>
            <w:tcW w:type="dxa" w:w="2493"/>
            <w:vAlign w:val="center"/>
            <w:shd w:fill="D9EAF7"/>
          </w:tcPr>
          <w:p>
            <w:r/>
            <w:r>
              <w:rPr>
                <w:b/>
                <w:sz w:val="17"/>
              </w:rPr>
              <w:t>Aspecto</w:t>
            </w:r>
          </w:p>
        </w:tc>
        <w:tc>
          <w:tcPr>
            <w:tcW w:type="dxa" w:w="2493"/>
            <w:vAlign w:val="center"/>
            <w:shd w:fill="D9EAF7"/>
          </w:tcPr>
          <w:p>
            <w:r/>
            <w:r>
              <w:rPr>
                <w:b/>
                <w:sz w:val="17"/>
              </w:rPr>
              <w:t>Impacto potencial</w:t>
            </w:r>
          </w:p>
        </w:tc>
        <w:tc>
          <w:tcPr>
            <w:tcW w:type="dxa" w:w="2493"/>
            <w:vAlign w:val="center"/>
            <w:shd w:fill="D9EAF7"/>
          </w:tcPr>
          <w:p>
            <w:r/>
            <w:r>
              <w:rPr>
                <w:b/>
                <w:sz w:val="17"/>
              </w:rPr>
              <w:t>Control</w:t>
            </w:r>
          </w:p>
        </w:tc>
      </w:tr>
      <w:tr>
        <w:tc>
          <w:tcPr>
            <w:tcW w:type="dxa" w:w="2493"/>
            <w:vAlign w:val="center"/>
          </w:tcPr>
          <w:p>
            <w:r/>
            <w:r>
              <w:rPr>
                <w:b w:val="0"/>
                <w:sz w:val="17"/>
              </w:rPr>
              <w:t>Recepción / manejo de granza</w:t>
            </w:r>
          </w:p>
        </w:tc>
        <w:tc>
          <w:tcPr>
            <w:tcW w:type="dxa" w:w="2493"/>
            <w:vAlign w:val="center"/>
          </w:tcPr>
          <w:p>
            <w:r/>
            <w:r>
              <w:rPr>
                <w:b w:val="0"/>
                <w:sz w:val="17"/>
              </w:rPr>
              <w:t>Derrame de materia prima</w:t>
            </w:r>
          </w:p>
        </w:tc>
        <w:tc>
          <w:tcPr>
            <w:tcW w:type="dxa" w:w="2493"/>
            <w:vAlign w:val="center"/>
          </w:tcPr>
          <w:p>
            <w:r/>
            <w:r>
              <w:rPr>
                <w:b w:val="0"/>
                <w:sz w:val="17"/>
              </w:rPr>
              <w:t>Pérdida de material y contaminación del suelo/red de drenaje</w:t>
            </w:r>
          </w:p>
        </w:tc>
        <w:tc>
          <w:tcPr>
            <w:tcW w:type="dxa" w:w="2493"/>
            <w:vAlign w:val="center"/>
          </w:tcPr>
          <w:p>
            <w:r/>
            <w:r>
              <w:rPr>
                <w:b w:val="0"/>
                <w:sz w:val="17"/>
              </w:rPr>
              <w:t>Orden y limpieza, recogida inmediata, recipientes adecuados.</w:t>
            </w:r>
          </w:p>
        </w:tc>
      </w:tr>
      <w:tr>
        <w:tc>
          <w:tcPr>
            <w:tcW w:type="dxa" w:w="2493"/>
            <w:vAlign w:val="center"/>
          </w:tcPr>
          <w:p>
            <w:r/>
            <w:r>
              <w:rPr>
                <w:b w:val="0"/>
                <w:sz w:val="17"/>
              </w:rPr>
              <w:t>Extrusión</w:t>
            </w:r>
          </w:p>
        </w:tc>
        <w:tc>
          <w:tcPr>
            <w:tcW w:type="dxa" w:w="2493"/>
            <w:vAlign w:val="center"/>
          </w:tcPr>
          <w:p>
            <w:r/>
            <w:r>
              <w:rPr>
                <w:b w:val="0"/>
                <w:sz w:val="17"/>
              </w:rPr>
              <w:t>Consumo de electricidad</w:t>
            </w:r>
          </w:p>
        </w:tc>
        <w:tc>
          <w:tcPr>
            <w:tcW w:type="dxa" w:w="2493"/>
            <w:vAlign w:val="center"/>
          </w:tcPr>
          <w:p>
            <w:r/>
            <w:r>
              <w:rPr>
                <w:b w:val="0"/>
                <w:sz w:val="17"/>
              </w:rPr>
              <w:t>Uso de recursos y emisiones indirectas de CO₂</w:t>
            </w:r>
          </w:p>
        </w:tc>
        <w:tc>
          <w:tcPr>
            <w:tcW w:type="dxa" w:w="2493"/>
            <w:vAlign w:val="center"/>
          </w:tcPr>
          <w:p>
            <w:r/>
            <w:r>
              <w:rPr>
                <w:b w:val="0"/>
                <w:sz w:val="17"/>
              </w:rPr>
              <w:t>Seguimiento kWh/kg, mantenimiento, eficiencia.</w:t>
            </w:r>
          </w:p>
        </w:tc>
      </w:tr>
      <w:tr>
        <w:tc>
          <w:tcPr>
            <w:tcW w:type="dxa" w:w="2493"/>
            <w:vAlign w:val="center"/>
          </w:tcPr>
          <w:p>
            <w:r/>
            <w:r>
              <w:rPr>
                <w:b w:val="0"/>
                <w:sz w:val="17"/>
              </w:rPr>
              <w:t>Extrusión</w:t>
            </w:r>
          </w:p>
        </w:tc>
        <w:tc>
          <w:tcPr>
            <w:tcW w:type="dxa" w:w="2493"/>
            <w:vAlign w:val="center"/>
          </w:tcPr>
          <w:p>
            <w:r/>
            <w:r>
              <w:rPr>
                <w:b w:val="0"/>
                <w:sz w:val="17"/>
              </w:rPr>
              <w:t>Consumo de agua</w:t>
            </w:r>
          </w:p>
        </w:tc>
        <w:tc>
          <w:tcPr>
            <w:tcW w:type="dxa" w:w="2493"/>
            <w:vAlign w:val="center"/>
          </w:tcPr>
          <w:p>
            <w:r/>
            <w:r>
              <w:rPr>
                <w:b w:val="0"/>
                <w:sz w:val="17"/>
              </w:rPr>
              <w:t>Uso de recursos</w:t>
            </w:r>
          </w:p>
        </w:tc>
        <w:tc>
          <w:tcPr>
            <w:tcW w:type="dxa" w:w="2493"/>
            <w:vAlign w:val="center"/>
          </w:tcPr>
          <w:p>
            <w:r/>
            <w:r>
              <w:rPr>
                <w:b w:val="0"/>
                <w:sz w:val="17"/>
              </w:rPr>
              <w:t>Control de circuitos, detección de fugas y seguimiento.</w:t>
            </w:r>
          </w:p>
        </w:tc>
      </w:tr>
      <w:tr>
        <w:tc>
          <w:tcPr>
            <w:tcW w:type="dxa" w:w="2493"/>
            <w:vAlign w:val="center"/>
          </w:tcPr>
          <w:p>
            <w:r/>
            <w:r>
              <w:rPr>
                <w:b w:val="0"/>
                <w:sz w:val="17"/>
              </w:rPr>
              <w:t>Producción</w:t>
            </w:r>
          </w:p>
        </w:tc>
        <w:tc>
          <w:tcPr>
            <w:tcW w:type="dxa" w:w="2493"/>
            <w:vAlign w:val="center"/>
          </w:tcPr>
          <w:p>
            <w:r/>
            <w:r>
              <w:rPr>
                <w:b w:val="0"/>
                <w:sz w:val="17"/>
              </w:rPr>
              <w:t>Ruido</w:t>
            </w:r>
          </w:p>
        </w:tc>
        <w:tc>
          <w:tcPr>
            <w:tcW w:type="dxa" w:w="2493"/>
            <w:vAlign w:val="center"/>
          </w:tcPr>
          <w:p>
            <w:r/>
            <w:r>
              <w:rPr>
                <w:b w:val="0"/>
                <w:sz w:val="17"/>
              </w:rPr>
              <w:t>Molestias al entorno</w:t>
            </w:r>
          </w:p>
        </w:tc>
        <w:tc>
          <w:tcPr>
            <w:tcW w:type="dxa" w:w="2493"/>
            <w:vAlign w:val="center"/>
          </w:tcPr>
          <w:p>
            <w:r/>
            <w:r>
              <w:rPr>
                <w:b w:val="0"/>
                <w:sz w:val="17"/>
              </w:rPr>
              <w:t>Medición de ruido externo y mantenimiento.</w:t>
            </w:r>
          </w:p>
        </w:tc>
      </w:tr>
      <w:tr>
        <w:tc>
          <w:tcPr>
            <w:tcW w:type="dxa" w:w="2493"/>
            <w:vAlign w:val="center"/>
          </w:tcPr>
          <w:p>
            <w:r/>
            <w:r>
              <w:rPr>
                <w:b w:val="0"/>
                <w:sz w:val="17"/>
              </w:rPr>
              <w:t>Corte / transformación</w:t>
            </w:r>
          </w:p>
        </w:tc>
        <w:tc>
          <w:tcPr>
            <w:tcW w:type="dxa" w:w="2493"/>
            <w:vAlign w:val="center"/>
          </w:tcPr>
          <w:p>
            <w:r/>
            <w:r>
              <w:rPr>
                <w:b w:val="0"/>
                <w:sz w:val="17"/>
              </w:rPr>
              <w:t>Recortes de PE</w:t>
            </w:r>
          </w:p>
        </w:tc>
        <w:tc>
          <w:tcPr>
            <w:tcW w:type="dxa" w:w="2493"/>
            <w:vAlign w:val="center"/>
          </w:tcPr>
          <w:p>
            <w:r/>
            <w:r>
              <w:rPr>
                <w:b w:val="0"/>
                <w:sz w:val="17"/>
              </w:rPr>
              <w:t>Generación de residuos</w:t>
            </w:r>
          </w:p>
        </w:tc>
        <w:tc>
          <w:tcPr>
            <w:tcW w:type="dxa" w:w="2493"/>
            <w:vAlign w:val="center"/>
          </w:tcPr>
          <w:p>
            <w:r/>
            <w:r>
              <w:rPr>
                <w:b w:val="0"/>
                <w:sz w:val="17"/>
              </w:rPr>
              <w:t>Segregación, reincorporación cuando sea viable y valorización.</w:t>
            </w:r>
          </w:p>
        </w:tc>
      </w:tr>
      <w:tr>
        <w:tc>
          <w:tcPr>
            <w:tcW w:type="dxa" w:w="2493"/>
            <w:vAlign w:val="center"/>
          </w:tcPr>
          <w:p>
            <w:r/>
            <w:r>
              <w:rPr>
                <w:b w:val="0"/>
                <w:sz w:val="17"/>
              </w:rPr>
              <w:t>Mantenimiento</w:t>
            </w:r>
          </w:p>
        </w:tc>
        <w:tc>
          <w:tcPr>
            <w:tcW w:type="dxa" w:w="2493"/>
            <w:vAlign w:val="center"/>
          </w:tcPr>
          <w:p>
            <w:r/>
            <w:r>
              <w:rPr>
                <w:b w:val="0"/>
                <w:sz w:val="17"/>
              </w:rPr>
              <w:t>Aceites y envases contaminados</w:t>
            </w:r>
          </w:p>
        </w:tc>
        <w:tc>
          <w:tcPr>
            <w:tcW w:type="dxa" w:w="2493"/>
            <w:vAlign w:val="center"/>
          </w:tcPr>
          <w:p>
            <w:r/>
            <w:r>
              <w:rPr>
                <w:b w:val="0"/>
                <w:sz w:val="17"/>
              </w:rPr>
              <w:t>Residuo peligroso / riesgo de derrame</w:t>
            </w:r>
          </w:p>
        </w:tc>
        <w:tc>
          <w:tcPr>
            <w:tcW w:type="dxa" w:w="2493"/>
            <w:vAlign w:val="center"/>
          </w:tcPr>
          <w:p>
            <w:r/>
            <w:r>
              <w:rPr>
                <w:b w:val="0"/>
                <w:sz w:val="17"/>
              </w:rPr>
              <w:t>Almacenamiento identificado, cubetos y gestor autorizado.</w:t>
            </w:r>
          </w:p>
        </w:tc>
      </w:tr>
      <w:tr>
        <w:tc>
          <w:tcPr>
            <w:tcW w:type="dxa" w:w="2493"/>
            <w:vAlign w:val="center"/>
          </w:tcPr>
          <w:p>
            <w:r/>
            <w:r>
              <w:rPr>
                <w:b w:val="0"/>
                <w:sz w:val="17"/>
              </w:rPr>
              <w:t>Expedición / transporte</w:t>
            </w:r>
          </w:p>
        </w:tc>
        <w:tc>
          <w:tcPr>
            <w:tcW w:type="dxa" w:w="2493"/>
            <w:vAlign w:val="center"/>
          </w:tcPr>
          <w:p>
            <w:r/>
            <w:r>
              <w:rPr>
                <w:b w:val="0"/>
                <w:sz w:val="17"/>
              </w:rPr>
              <w:t>Emisiones de transporte</w:t>
            </w:r>
          </w:p>
        </w:tc>
        <w:tc>
          <w:tcPr>
            <w:tcW w:type="dxa" w:w="2493"/>
            <w:vAlign w:val="center"/>
          </w:tcPr>
          <w:p>
            <w:r/>
            <w:r>
              <w:rPr>
                <w:b w:val="0"/>
                <w:sz w:val="17"/>
              </w:rPr>
              <w:t>Emisiones indirectas</w:t>
            </w:r>
          </w:p>
        </w:tc>
        <w:tc>
          <w:tcPr>
            <w:tcW w:type="dxa" w:w="2493"/>
            <w:vAlign w:val="center"/>
          </w:tcPr>
          <w:p>
            <w:r/>
            <w:r>
              <w:rPr>
                <w:b w:val="0"/>
                <w:sz w:val="17"/>
              </w:rPr>
              <w:t>Optimización de cargas y rutas cuando sea posible.</w:t>
            </w:r>
          </w:p>
        </w:tc>
      </w:tr>
    </w:tbl>
    <w:p/>
    <w:p>
      <w:pPr>
        <w:pStyle w:val="Heading2"/>
      </w:pPr>
      <w:r>
        <w:t>10.2 Residuos</w:t>
      </w:r>
    </w:p>
    <w:p>
      <w:pPr>
        <w:pStyle w:val="ListBullet"/>
      </w:pPr>
      <w:r>
        <w:t>Segregar por tipología y evitar mezclas.</w:t>
      </w:r>
    </w:p>
    <w:p>
      <w:pPr>
        <w:pStyle w:val="ListBullet"/>
      </w:pPr>
      <w:r>
        <w:t>Identificar contenedores y zonas de almacenamiento.</w:t>
      </w:r>
    </w:p>
    <w:p>
      <w:pPr>
        <w:pStyle w:val="ListBullet"/>
      </w:pPr>
      <w:r>
        <w:t>Mantener contratos, documentos de traslado y justificantes de gestor autorizado cuando sean exigibles.</w:t>
      </w:r>
    </w:p>
    <w:p>
      <w:pPr>
        <w:pStyle w:val="ListBullet"/>
      </w:pPr>
      <w:r>
        <w:t>Priorizar prevención, reutilización y valorización.</w:t>
      </w:r>
    </w:p>
    <w:p>
      <w:pPr>
        <w:pStyle w:val="ListBullet"/>
      </w:pPr>
      <w:r>
        <w:t>Controlar residuos peligrosos y envases contaminados según requisitos legales.</w:t>
      </w:r>
    </w:p>
    <w:p>
      <w:pPr>
        <w:pStyle w:val="Heading2"/>
      </w:pPr>
      <w:r>
        <w:t>10.3 Requisitos legales y otros requisitos</w:t>
      </w:r>
    </w:p>
    <w:p>
      <w:r>
        <w:t>INFUPLAS mantiene una matriz de requisitos legales ambientales y de producto, identificando obligación, aplicabilidad, evidencia de cumplimiento, responsable y periodicidad de revisión. Debe incluir, cuando resulte aplicable, normativa de residuos, emisiones/ruido, instalaciones, productores de producto/envases, bolsas, SRAP/ENVALORA y Reglamento (UE) 2025/40 (PPWR).</w:t>
      </w:r>
    </w:p>
    <w:p>
      <w:pPr>
        <w:pStyle w:val="Heading2"/>
      </w:pPr>
      <w:r>
        <w:t>10.4 Emergencias ambientales</w:t>
      </w:r>
    </w:p>
    <w:p>
      <w:pPr>
        <w:pStyle w:val="ListBullet"/>
      </w:pPr>
      <w:r>
        <w:t>Derrames de aceites o productos auxiliares.</w:t>
      </w:r>
    </w:p>
    <w:p>
      <w:pPr>
        <w:pStyle w:val="ListBullet"/>
      </w:pPr>
      <w:r>
        <w:t>Incendio.</w:t>
      </w:r>
    </w:p>
    <w:p>
      <w:pPr>
        <w:pStyle w:val="ListBullet"/>
      </w:pPr>
      <w:r>
        <w:t>Fuga o vertido accidental.</w:t>
      </w:r>
    </w:p>
    <w:p>
      <w:pPr>
        <w:pStyle w:val="ListBullet"/>
      </w:pPr>
      <w:r>
        <w:t>Derrame significativo de granza.</w:t>
      </w:r>
    </w:p>
    <w:p>
      <w:pPr>
        <w:pStyle w:val="ListBullet"/>
      </w:pPr>
      <w:r>
        <w:t>Avería que pueda provocar emisión, ruido o vertido anómalo.</w:t>
      </w:r>
    </w:p>
    <w:p>
      <w:r>
        <w:t>Para cada emergencia se definen medios de respuesta, responsables, comunicaciones, actuación inicial, recogida/gestión posterior y revisión de la eficacia. Se realizarán simulacros o pruebas cuando sea razonablemente aplicable.</w:t>
      </w:r>
    </w:p>
    <w:p>
      <w:pPr>
        <w:pStyle w:val="Heading1"/>
      </w:pPr>
      <w:r>
        <w:t>11. Evaluación del desempeño</w:t>
      </w:r>
    </w:p>
    <w:p>
      <w:pPr>
        <w:pStyle w:val="Heading2"/>
      </w:pPr>
      <w:r>
        <w:t>11.1 Indicadores y objetivos</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Indicador</w:t>
            </w:r>
          </w:p>
        </w:tc>
        <w:tc>
          <w:tcPr>
            <w:tcW w:type="dxa" w:w="3324"/>
            <w:vAlign w:val="center"/>
            <w:shd w:fill="D9EAF7"/>
          </w:tcPr>
          <w:p>
            <w:r/>
            <w:r>
              <w:rPr>
                <w:b/>
                <w:sz w:val="17"/>
              </w:rPr>
              <w:t>Meta orientativa</w:t>
            </w:r>
          </w:p>
        </w:tc>
        <w:tc>
          <w:tcPr>
            <w:tcW w:type="dxa" w:w="3324"/>
            <w:vAlign w:val="center"/>
            <w:shd w:fill="D9EAF7"/>
          </w:tcPr>
          <w:p>
            <w:r/>
            <w:r>
              <w:rPr>
                <w:b/>
                <w:sz w:val="17"/>
              </w:rPr>
              <w:t>Frecuencia</w:t>
            </w:r>
          </w:p>
        </w:tc>
      </w:tr>
      <w:tr>
        <w:tc>
          <w:tcPr>
            <w:tcW w:type="dxa" w:w="3324"/>
            <w:vAlign w:val="center"/>
          </w:tcPr>
          <w:p>
            <w:r/>
            <w:r>
              <w:rPr>
                <w:b w:val="0"/>
                <w:sz w:val="17"/>
              </w:rPr>
              <w:t>Producto conforme</w:t>
            </w:r>
          </w:p>
        </w:tc>
        <w:tc>
          <w:tcPr>
            <w:tcW w:type="dxa" w:w="3324"/>
            <w:vAlign w:val="center"/>
          </w:tcPr>
          <w:p>
            <w:r/>
            <w:r>
              <w:rPr>
                <w:b w:val="0"/>
                <w:sz w:val="17"/>
              </w:rPr>
              <w:t>≥ 98 %</w:t>
            </w:r>
          </w:p>
        </w:tc>
        <w:tc>
          <w:tcPr>
            <w:tcW w:type="dxa" w:w="3324"/>
            <w:vAlign w:val="center"/>
          </w:tcPr>
          <w:p>
            <w:r/>
            <w:r>
              <w:rPr>
                <w:b w:val="0"/>
                <w:sz w:val="17"/>
              </w:rPr>
              <w:t>Mensual</w:t>
            </w:r>
          </w:p>
        </w:tc>
      </w:tr>
      <w:tr>
        <w:tc>
          <w:tcPr>
            <w:tcW w:type="dxa" w:w="3324"/>
            <w:vAlign w:val="center"/>
          </w:tcPr>
          <w:p>
            <w:r/>
            <w:r>
              <w:rPr>
                <w:b w:val="0"/>
                <w:sz w:val="17"/>
              </w:rPr>
              <w:t>Reclamaciones</w:t>
            </w:r>
          </w:p>
        </w:tc>
        <w:tc>
          <w:tcPr>
            <w:tcW w:type="dxa" w:w="3324"/>
            <w:vAlign w:val="center"/>
          </w:tcPr>
          <w:p>
            <w:r/>
            <w:r>
              <w:rPr>
                <w:b w:val="0"/>
                <w:sz w:val="17"/>
              </w:rPr>
              <w:t>≤ 2 %</w:t>
            </w:r>
          </w:p>
        </w:tc>
        <w:tc>
          <w:tcPr>
            <w:tcW w:type="dxa" w:w="3324"/>
            <w:vAlign w:val="center"/>
          </w:tcPr>
          <w:p>
            <w:r/>
            <w:r>
              <w:rPr>
                <w:b w:val="0"/>
                <w:sz w:val="17"/>
              </w:rPr>
              <w:t>Mensual / trimestral</w:t>
            </w:r>
          </w:p>
        </w:tc>
      </w:tr>
      <w:tr>
        <w:tc>
          <w:tcPr>
            <w:tcW w:type="dxa" w:w="3324"/>
            <w:vAlign w:val="center"/>
          </w:tcPr>
          <w:p>
            <w:r/>
            <w:r>
              <w:rPr>
                <w:b w:val="0"/>
                <w:sz w:val="17"/>
              </w:rPr>
              <w:t>Entregas en plazo</w:t>
            </w:r>
          </w:p>
        </w:tc>
        <w:tc>
          <w:tcPr>
            <w:tcW w:type="dxa" w:w="3324"/>
            <w:vAlign w:val="center"/>
          </w:tcPr>
          <w:p>
            <w:r/>
            <w:r>
              <w:rPr>
                <w:b w:val="0"/>
                <w:sz w:val="17"/>
              </w:rPr>
              <w:t>≥ 95 %</w:t>
            </w:r>
          </w:p>
        </w:tc>
        <w:tc>
          <w:tcPr>
            <w:tcW w:type="dxa" w:w="3324"/>
            <w:vAlign w:val="center"/>
          </w:tcPr>
          <w:p>
            <w:r/>
            <w:r>
              <w:rPr>
                <w:b w:val="0"/>
                <w:sz w:val="17"/>
              </w:rPr>
              <w:t>Mensual</w:t>
            </w:r>
          </w:p>
        </w:tc>
      </w:tr>
      <w:tr>
        <w:tc>
          <w:tcPr>
            <w:tcW w:type="dxa" w:w="3324"/>
            <w:vAlign w:val="center"/>
          </w:tcPr>
          <w:p>
            <w:r/>
            <w:r>
              <w:rPr>
                <w:b w:val="0"/>
                <w:sz w:val="17"/>
              </w:rPr>
              <w:t>Aprovechamiento de materia prima</w:t>
            </w:r>
          </w:p>
        </w:tc>
        <w:tc>
          <w:tcPr>
            <w:tcW w:type="dxa" w:w="3324"/>
            <w:vAlign w:val="center"/>
          </w:tcPr>
          <w:p>
            <w:r/>
            <w:r>
              <w:rPr>
                <w:b w:val="0"/>
                <w:sz w:val="17"/>
              </w:rPr>
              <w:t>≥ 97 %</w:t>
            </w:r>
          </w:p>
        </w:tc>
        <w:tc>
          <w:tcPr>
            <w:tcW w:type="dxa" w:w="3324"/>
            <w:vAlign w:val="center"/>
          </w:tcPr>
          <w:p>
            <w:r/>
            <w:r>
              <w:rPr>
                <w:b w:val="0"/>
                <w:sz w:val="17"/>
              </w:rPr>
              <w:t>Mensual</w:t>
            </w:r>
          </w:p>
        </w:tc>
      </w:tr>
      <w:tr>
        <w:tc>
          <w:tcPr>
            <w:tcW w:type="dxa" w:w="3324"/>
            <w:vAlign w:val="center"/>
          </w:tcPr>
          <w:p>
            <w:r/>
            <w:r>
              <w:rPr>
                <w:b w:val="0"/>
                <w:sz w:val="17"/>
              </w:rPr>
              <w:t>Merma</w:t>
            </w:r>
          </w:p>
        </w:tc>
        <w:tc>
          <w:tcPr>
            <w:tcW w:type="dxa" w:w="3324"/>
            <w:vAlign w:val="center"/>
          </w:tcPr>
          <w:p>
            <w:r/>
            <w:r>
              <w:rPr>
                <w:b w:val="0"/>
                <w:sz w:val="17"/>
              </w:rPr>
              <w:t>≤ 3 %</w:t>
            </w:r>
          </w:p>
        </w:tc>
        <w:tc>
          <w:tcPr>
            <w:tcW w:type="dxa" w:w="3324"/>
            <w:vAlign w:val="center"/>
          </w:tcPr>
          <w:p>
            <w:r/>
            <w:r>
              <w:rPr>
                <w:b w:val="0"/>
                <w:sz w:val="17"/>
              </w:rPr>
              <w:t>Mensual</w:t>
            </w:r>
          </w:p>
        </w:tc>
      </w:tr>
      <w:tr>
        <w:tc>
          <w:tcPr>
            <w:tcW w:type="dxa" w:w="3324"/>
            <w:vAlign w:val="center"/>
          </w:tcPr>
          <w:p>
            <w:r/>
            <w:r>
              <w:rPr>
                <w:b w:val="0"/>
                <w:sz w:val="17"/>
              </w:rPr>
              <w:t>Residuos valorizados</w:t>
            </w:r>
          </w:p>
        </w:tc>
        <w:tc>
          <w:tcPr>
            <w:tcW w:type="dxa" w:w="3324"/>
            <w:vAlign w:val="center"/>
          </w:tcPr>
          <w:p>
            <w:r/>
            <w:r>
              <w:rPr>
                <w:b w:val="0"/>
                <w:sz w:val="17"/>
              </w:rPr>
              <w:t>≥ 90 %</w:t>
            </w:r>
          </w:p>
        </w:tc>
        <w:tc>
          <w:tcPr>
            <w:tcW w:type="dxa" w:w="3324"/>
            <w:vAlign w:val="center"/>
          </w:tcPr>
          <w:p>
            <w:r/>
            <w:r>
              <w:rPr>
                <w:b w:val="0"/>
                <w:sz w:val="17"/>
              </w:rPr>
              <w:t>Trimestral</w:t>
            </w:r>
          </w:p>
        </w:tc>
      </w:tr>
      <w:tr>
        <w:tc>
          <w:tcPr>
            <w:tcW w:type="dxa" w:w="3324"/>
            <w:vAlign w:val="center"/>
          </w:tcPr>
          <w:p>
            <w:r/>
            <w:r>
              <w:rPr>
                <w:b w:val="0"/>
                <w:sz w:val="17"/>
              </w:rPr>
              <w:t>Incidentes ambientales</w:t>
            </w:r>
          </w:p>
        </w:tc>
        <w:tc>
          <w:tcPr>
            <w:tcW w:type="dxa" w:w="3324"/>
            <w:vAlign w:val="center"/>
          </w:tcPr>
          <w:p>
            <w:r/>
            <w:r>
              <w:rPr>
                <w:b w:val="0"/>
                <w:sz w:val="17"/>
              </w:rPr>
              <w:t>0</w:t>
            </w:r>
          </w:p>
        </w:tc>
        <w:tc>
          <w:tcPr>
            <w:tcW w:type="dxa" w:w="3324"/>
            <w:vAlign w:val="center"/>
          </w:tcPr>
          <w:p>
            <w:r/>
            <w:r>
              <w:rPr>
                <w:b w:val="0"/>
                <w:sz w:val="17"/>
              </w:rPr>
              <w:t>Continuo</w:t>
            </w:r>
          </w:p>
        </w:tc>
      </w:tr>
      <w:tr>
        <w:tc>
          <w:tcPr>
            <w:tcW w:type="dxa" w:w="3324"/>
            <w:vAlign w:val="center"/>
          </w:tcPr>
          <w:p>
            <w:r/>
            <w:r>
              <w:rPr>
                <w:b w:val="0"/>
                <w:sz w:val="17"/>
              </w:rPr>
              <w:t>Consumo energético</w:t>
            </w:r>
          </w:p>
        </w:tc>
        <w:tc>
          <w:tcPr>
            <w:tcW w:type="dxa" w:w="3324"/>
            <w:vAlign w:val="center"/>
          </w:tcPr>
          <w:p>
            <w:r/>
            <w:r>
              <w:rPr>
                <w:b w:val="0"/>
                <w:sz w:val="17"/>
              </w:rPr>
              <w:t>Reducción progresiva kWh/kg</w:t>
            </w:r>
          </w:p>
        </w:tc>
        <w:tc>
          <w:tcPr>
            <w:tcW w:type="dxa" w:w="3324"/>
            <w:vAlign w:val="center"/>
          </w:tcPr>
          <w:p>
            <w:r/>
            <w:r>
              <w:rPr>
                <w:b w:val="0"/>
                <w:sz w:val="17"/>
              </w:rPr>
              <w:t>Mensual</w:t>
            </w:r>
          </w:p>
        </w:tc>
      </w:tr>
    </w:tbl>
    <w:p/>
    <w:p>
      <w:r>
        <w:t>Las metas deben validarse anualmente por Dirección según los resultados reales, contexto, inversiones y objetivos estratégicos.</w:t>
      </w:r>
    </w:p>
    <w:p>
      <w:pPr>
        <w:pStyle w:val="Heading2"/>
      </w:pPr>
      <w:r>
        <w:t>11.2 Satisfacción del cliente</w:t>
      </w:r>
    </w:p>
    <w:p>
      <w:r>
        <w:t>Se evalúa mediante reclamaciones, devoluciones, repetición de pedidos, feedback comercial, cumplimiento de plazos y, cuando se considere útil, encuestas específicas.</w:t>
      </w:r>
    </w:p>
    <w:p>
      <w:pPr>
        <w:pStyle w:val="Heading2"/>
      </w:pPr>
      <w:r>
        <w:t>11.3 Auditoría interna</w:t>
      </w:r>
    </w:p>
    <w:p>
      <w:r>
        <w:t>El programa de auditoría cubre los requisitos de ISO 9001 e ISO 14001 y todos los procesos del SGI. La frecuencia se ajusta a importancia, resultados previos, cambios y riesgos. Los auditores deben mantener objetividad e independencia respecto del trabajo auditado.</w:t>
      </w:r>
    </w:p>
    <w:p>
      <w:pPr>
        <w:pStyle w:val="Heading2"/>
      </w:pPr>
      <w:r>
        <w:t>11.4 Revisión por la Dirección</w:t>
      </w:r>
    </w:p>
    <w:p>
      <w:pPr>
        <w:pStyle w:val="ListBullet"/>
      </w:pPr>
      <w:r>
        <w:t>Estado de acciones de revisiones anteriores.</w:t>
      </w:r>
    </w:p>
    <w:p>
      <w:pPr>
        <w:pStyle w:val="ListBullet"/>
      </w:pPr>
      <w:r>
        <w:t>Cambios internos/externos y partes interesadas.</w:t>
      </w:r>
    </w:p>
    <w:p>
      <w:r>
        <w:t>Cambio climático: revisión de su relevancia, evolución de riesgos/oportunidades y necesidades o expectativas climáticas de las partes interesadas.</w:t>
      </w:r>
    </w:p>
    <w:p>
      <w:pPr>
        <w:pStyle w:val="ListBullet"/>
      </w:pPr>
      <w:r>
        <w:t>Resultados de indicadores y objetivos.</w:t>
      </w:r>
    </w:p>
    <w:p>
      <w:pPr>
        <w:pStyle w:val="ListBullet"/>
      </w:pPr>
      <w:r>
        <w:t>Satisfacción de cliente y reclamaciones.</w:t>
      </w:r>
    </w:p>
    <w:p>
      <w:pPr>
        <w:pStyle w:val="ListBullet"/>
      </w:pPr>
      <w:r>
        <w:t>Desempeño de procesos y conformidad del producto.</w:t>
      </w:r>
    </w:p>
    <w:p>
      <w:pPr>
        <w:pStyle w:val="ListBullet"/>
      </w:pPr>
      <w:r>
        <w:t>Auditorías internas/externas.</w:t>
      </w:r>
    </w:p>
    <w:p>
      <w:pPr>
        <w:pStyle w:val="ListBullet"/>
      </w:pPr>
      <w:r>
        <w:t>Desempeño ambiental y cumplimiento legal.</w:t>
      </w:r>
    </w:p>
    <w:p>
      <w:pPr>
        <w:pStyle w:val="ListBullet"/>
      </w:pPr>
      <w:r>
        <w:t>Desempeño de proveedores.</w:t>
      </w:r>
    </w:p>
    <w:p>
      <w:pPr>
        <w:pStyle w:val="ListBullet"/>
      </w:pPr>
      <w:r>
        <w:t>No conformidades y acciones correctivas.</w:t>
      </w:r>
    </w:p>
    <w:p>
      <w:pPr>
        <w:pStyle w:val="ListBullet"/>
      </w:pPr>
      <w:r>
        <w:t>Recursos, oportunidades de mejora y necesidades de inversión.</w:t>
      </w:r>
    </w:p>
    <w:p>
      <w:r>
        <w:br w:type="page"/>
      </w:r>
    </w:p>
    <w:p>
      <w:pPr>
        <w:pStyle w:val="Heading1"/>
      </w:pPr>
      <w:r>
        <w:t>12. Programa de objetivos de mejora 2026–2027</w:t>
      </w:r>
    </w:p>
    <w:tbl>
      <w:tblPr>
        <w:tblStyle w:val="TableGrid"/>
        <w:tblW w:type="auto" w:w="0"/>
        <w:jc w:val="center"/>
        <w:tblLook w:firstColumn="1" w:firstRow="1" w:lastColumn="0" w:lastRow="0" w:noHBand="0" w:noVBand="1" w:val="04A0"/>
      </w:tblPr>
      <w:tblGrid>
        <w:gridCol w:w="1994"/>
        <w:gridCol w:w="1994"/>
        <w:gridCol w:w="1994"/>
        <w:gridCol w:w="1994"/>
        <w:gridCol w:w="1994"/>
      </w:tblGrid>
      <w:tr>
        <w:trPr>
          <w:tblHeader w:val="true"/>
        </w:trPr>
        <w:tc>
          <w:tcPr>
            <w:tcW w:type="dxa" w:w="1994"/>
            <w:vAlign w:val="center"/>
            <w:shd w:fill="D9EAF7"/>
          </w:tcPr>
          <w:p>
            <w:r/>
            <w:r>
              <w:rPr>
                <w:b/>
                <w:sz w:val="17"/>
              </w:rPr>
              <w:t>Objetivo</w:t>
            </w:r>
          </w:p>
        </w:tc>
        <w:tc>
          <w:tcPr>
            <w:tcW w:type="dxa" w:w="1994"/>
            <w:vAlign w:val="center"/>
            <w:shd w:fill="D9EAF7"/>
          </w:tcPr>
          <w:p>
            <w:r/>
            <w:r>
              <w:rPr>
                <w:b/>
                <w:sz w:val="17"/>
              </w:rPr>
              <w:t>Indicador</w:t>
            </w:r>
          </w:p>
        </w:tc>
        <w:tc>
          <w:tcPr>
            <w:tcW w:type="dxa" w:w="1994"/>
            <w:vAlign w:val="center"/>
            <w:shd w:fill="D9EAF7"/>
          </w:tcPr>
          <w:p>
            <w:r/>
            <w:r>
              <w:rPr>
                <w:b/>
                <w:sz w:val="17"/>
              </w:rPr>
              <w:t>Meta</w:t>
            </w:r>
          </w:p>
        </w:tc>
        <w:tc>
          <w:tcPr>
            <w:tcW w:type="dxa" w:w="1994"/>
            <w:vAlign w:val="center"/>
            <w:shd w:fill="D9EAF7"/>
          </w:tcPr>
          <w:p>
            <w:r/>
            <w:r>
              <w:rPr>
                <w:b/>
                <w:sz w:val="17"/>
              </w:rPr>
              <w:t>Acciones principales</w:t>
            </w:r>
          </w:p>
        </w:tc>
        <w:tc>
          <w:tcPr>
            <w:tcW w:type="dxa" w:w="1994"/>
            <w:vAlign w:val="center"/>
            <w:shd w:fill="D9EAF7"/>
          </w:tcPr>
          <w:p>
            <w:r/>
            <w:r>
              <w:rPr>
                <w:b/>
                <w:sz w:val="17"/>
              </w:rPr>
              <w:t>Responsable</w:t>
            </w:r>
          </w:p>
        </w:tc>
      </w:tr>
      <w:tr>
        <w:tc>
          <w:tcPr>
            <w:tcW w:type="dxa" w:w="1994"/>
            <w:vAlign w:val="center"/>
          </w:tcPr>
          <w:p>
            <w:r/>
            <w:r>
              <w:rPr>
                <w:b w:val="0"/>
                <w:sz w:val="17"/>
              </w:rPr>
              <w:t>Reducir merma</w:t>
            </w:r>
          </w:p>
        </w:tc>
        <w:tc>
          <w:tcPr>
            <w:tcW w:type="dxa" w:w="1994"/>
            <w:vAlign w:val="center"/>
          </w:tcPr>
          <w:p>
            <w:r/>
            <w:r>
              <w:rPr>
                <w:b w:val="0"/>
                <w:sz w:val="17"/>
              </w:rPr>
              <w:t>% merma</w:t>
            </w:r>
          </w:p>
        </w:tc>
        <w:tc>
          <w:tcPr>
            <w:tcW w:type="dxa" w:w="1994"/>
            <w:vAlign w:val="center"/>
          </w:tcPr>
          <w:p>
            <w:r/>
            <w:r>
              <w:rPr>
                <w:b w:val="0"/>
                <w:sz w:val="17"/>
              </w:rPr>
              <w:t>≤ 3 %</w:t>
            </w:r>
          </w:p>
        </w:tc>
        <w:tc>
          <w:tcPr>
            <w:tcW w:type="dxa" w:w="1994"/>
            <w:vAlign w:val="center"/>
          </w:tcPr>
          <w:p>
            <w:r/>
            <w:r>
              <w:rPr>
                <w:b w:val="0"/>
                <w:sz w:val="17"/>
              </w:rPr>
              <w:t>Analizar causas por máquina/material; estandarizar arranques; formación.</w:t>
            </w:r>
          </w:p>
        </w:tc>
        <w:tc>
          <w:tcPr>
            <w:tcW w:type="dxa" w:w="1994"/>
            <w:vAlign w:val="center"/>
          </w:tcPr>
          <w:p>
            <w:r/>
            <w:r>
              <w:rPr>
                <w:b w:val="0"/>
                <w:sz w:val="17"/>
              </w:rPr>
              <w:t>Producción / Calidad</w:t>
            </w:r>
          </w:p>
        </w:tc>
      </w:tr>
      <w:tr>
        <w:tc>
          <w:tcPr>
            <w:tcW w:type="dxa" w:w="1994"/>
            <w:vAlign w:val="center"/>
          </w:tcPr>
          <w:p>
            <w:r/>
            <w:r>
              <w:rPr>
                <w:b w:val="0"/>
                <w:sz w:val="17"/>
              </w:rPr>
              <w:t>Mejorar entregas</w:t>
            </w:r>
          </w:p>
        </w:tc>
        <w:tc>
          <w:tcPr>
            <w:tcW w:type="dxa" w:w="1994"/>
            <w:vAlign w:val="center"/>
          </w:tcPr>
          <w:p>
            <w:r/>
            <w:r>
              <w:rPr>
                <w:b w:val="0"/>
                <w:sz w:val="17"/>
              </w:rPr>
              <w:t>% en plazo</w:t>
            </w:r>
          </w:p>
        </w:tc>
        <w:tc>
          <w:tcPr>
            <w:tcW w:type="dxa" w:w="1994"/>
            <w:vAlign w:val="center"/>
          </w:tcPr>
          <w:p>
            <w:r/>
            <w:r>
              <w:rPr>
                <w:b w:val="0"/>
                <w:sz w:val="17"/>
              </w:rPr>
              <w:t>≥ 95 %</w:t>
            </w:r>
          </w:p>
        </w:tc>
        <w:tc>
          <w:tcPr>
            <w:tcW w:type="dxa" w:w="1994"/>
            <w:vAlign w:val="center"/>
          </w:tcPr>
          <w:p>
            <w:r/>
            <w:r>
              <w:rPr>
                <w:b w:val="0"/>
                <w:sz w:val="17"/>
              </w:rPr>
              <w:t>Planificación, seguimiento de pedidos, mantenimiento preventivo.</w:t>
            </w:r>
          </w:p>
        </w:tc>
        <w:tc>
          <w:tcPr>
            <w:tcW w:type="dxa" w:w="1994"/>
            <w:vAlign w:val="center"/>
          </w:tcPr>
          <w:p>
            <w:r/>
            <w:r>
              <w:rPr>
                <w:b w:val="0"/>
                <w:sz w:val="17"/>
              </w:rPr>
              <w:t>Dirección / Producción</w:t>
            </w:r>
          </w:p>
        </w:tc>
      </w:tr>
      <w:tr>
        <w:tc>
          <w:tcPr>
            <w:tcW w:type="dxa" w:w="1994"/>
            <w:vAlign w:val="center"/>
          </w:tcPr>
          <w:p>
            <w:r/>
            <w:r>
              <w:rPr>
                <w:b w:val="0"/>
                <w:sz w:val="17"/>
              </w:rPr>
              <w:t>Mejorar eficiencia energética</w:t>
            </w:r>
          </w:p>
        </w:tc>
        <w:tc>
          <w:tcPr>
            <w:tcW w:type="dxa" w:w="1994"/>
            <w:vAlign w:val="center"/>
          </w:tcPr>
          <w:p>
            <w:r/>
            <w:r>
              <w:rPr>
                <w:b w:val="0"/>
                <w:sz w:val="17"/>
              </w:rPr>
              <w:t>kWh/kg</w:t>
            </w:r>
          </w:p>
        </w:tc>
        <w:tc>
          <w:tcPr>
            <w:tcW w:type="dxa" w:w="1994"/>
            <w:vAlign w:val="center"/>
          </w:tcPr>
          <w:p>
            <w:r/>
            <w:r>
              <w:rPr>
                <w:b w:val="0"/>
                <w:sz w:val="17"/>
              </w:rPr>
              <w:t>Reducción vs. línea base</w:t>
            </w:r>
          </w:p>
        </w:tc>
        <w:tc>
          <w:tcPr>
            <w:tcW w:type="dxa" w:w="1994"/>
            <w:vAlign w:val="center"/>
          </w:tcPr>
          <w:p>
            <w:r/>
            <w:r>
              <w:rPr>
                <w:b w:val="0"/>
                <w:sz w:val="17"/>
              </w:rPr>
              <w:t>Medición, mantenimiento, revisión de temperaturas y tiempos improductivos.</w:t>
            </w:r>
          </w:p>
        </w:tc>
        <w:tc>
          <w:tcPr>
            <w:tcW w:type="dxa" w:w="1994"/>
            <w:vAlign w:val="center"/>
          </w:tcPr>
          <w:p>
            <w:r/>
            <w:r>
              <w:rPr>
                <w:b w:val="0"/>
                <w:sz w:val="17"/>
              </w:rPr>
              <w:t>Dirección / Mantenimiento</w:t>
            </w:r>
          </w:p>
        </w:tc>
      </w:tr>
      <w:tr>
        <w:tc>
          <w:tcPr>
            <w:tcW w:type="dxa" w:w="1994"/>
            <w:vAlign w:val="center"/>
          </w:tcPr>
          <w:p>
            <w:r/>
            <w:r>
              <w:rPr>
                <w:b w:val="0"/>
                <w:sz w:val="17"/>
              </w:rPr>
              <w:t>Aumentar valorización</w:t>
            </w:r>
          </w:p>
        </w:tc>
        <w:tc>
          <w:tcPr>
            <w:tcW w:type="dxa" w:w="1994"/>
            <w:vAlign w:val="center"/>
          </w:tcPr>
          <w:p>
            <w:r/>
            <w:r>
              <w:rPr>
                <w:b w:val="0"/>
                <w:sz w:val="17"/>
              </w:rPr>
              <w:t>% residuos valorizados</w:t>
            </w:r>
          </w:p>
        </w:tc>
        <w:tc>
          <w:tcPr>
            <w:tcW w:type="dxa" w:w="1994"/>
            <w:vAlign w:val="center"/>
          </w:tcPr>
          <w:p>
            <w:r/>
            <w:r>
              <w:rPr>
                <w:b w:val="0"/>
                <w:sz w:val="17"/>
              </w:rPr>
              <w:t>≥ 90 %</w:t>
            </w:r>
          </w:p>
        </w:tc>
        <w:tc>
          <w:tcPr>
            <w:tcW w:type="dxa" w:w="1994"/>
            <w:vAlign w:val="center"/>
          </w:tcPr>
          <w:p>
            <w:r/>
            <w:r>
              <w:rPr>
                <w:b w:val="0"/>
                <w:sz w:val="17"/>
              </w:rPr>
              <w:t>Mejor segregación, gestores y revisión de destinos.</w:t>
            </w:r>
          </w:p>
        </w:tc>
        <w:tc>
          <w:tcPr>
            <w:tcW w:type="dxa" w:w="1994"/>
            <w:vAlign w:val="center"/>
          </w:tcPr>
          <w:p>
            <w:r/>
            <w:r>
              <w:rPr>
                <w:b w:val="0"/>
                <w:sz w:val="17"/>
              </w:rPr>
              <w:t>Calidad / Administración</w:t>
            </w:r>
          </w:p>
        </w:tc>
      </w:tr>
      <w:tr>
        <w:tc>
          <w:tcPr>
            <w:tcW w:type="dxa" w:w="1994"/>
            <w:vAlign w:val="center"/>
          </w:tcPr>
          <w:p>
            <w:r/>
            <w:r>
              <w:rPr>
                <w:b w:val="0"/>
                <w:sz w:val="17"/>
              </w:rPr>
              <w:t>Cerrar requisitos ambientales</w:t>
            </w:r>
          </w:p>
        </w:tc>
        <w:tc>
          <w:tcPr>
            <w:tcW w:type="dxa" w:w="1994"/>
            <w:vAlign w:val="center"/>
          </w:tcPr>
          <w:p>
            <w:r/>
            <w:r>
              <w:rPr>
                <w:b w:val="0"/>
                <w:sz w:val="17"/>
              </w:rPr>
              <w:t>% acciones legales cerradas</w:t>
            </w:r>
          </w:p>
        </w:tc>
        <w:tc>
          <w:tcPr>
            <w:tcW w:type="dxa" w:w="1994"/>
            <w:vAlign w:val="center"/>
          </w:tcPr>
          <w:p>
            <w:r/>
            <w:r>
              <w:rPr>
                <w:b w:val="0"/>
                <w:sz w:val="17"/>
              </w:rPr>
              <w:t>100 %</w:t>
            </w:r>
          </w:p>
        </w:tc>
        <w:tc>
          <w:tcPr>
            <w:tcW w:type="dxa" w:w="1994"/>
            <w:vAlign w:val="center"/>
          </w:tcPr>
          <w:p>
            <w:r/>
            <w:r>
              <w:rPr>
                <w:b w:val="0"/>
                <w:sz w:val="17"/>
              </w:rPr>
              <w:t>Compresores, ruido externo, extintores y matriz legal actualizada.</w:t>
            </w:r>
          </w:p>
        </w:tc>
        <w:tc>
          <w:tcPr>
            <w:tcW w:type="dxa" w:w="1994"/>
            <w:vAlign w:val="center"/>
          </w:tcPr>
          <w:p>
            <w:r/>
            <w:r>
              <w:rPr>
                <w:b w:val="0"/>
                <w:sz w:val="17"/>
              </w:rPr>
              <w:t>Dirección / Calidad</w:t>
            </w:r>
          </w:p>
        </w:tc>
      </w:tr>
    </w:tbl>
    <w:p/>
    <w:p>
      <w:pPr>
        <w:pStyle w:val="Heading1"/>
      </w:pPr>
      <w:r>
        <w:t>13. Estructura documental del SGI</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Código sugerido</w:t>
            </w:r>
          </w:p>
        </w:tc>
        <w:tc>
          <w:tcPr>
            <w:tcW w:type="dxa" w:w="4986"/>
            <w:vAlign w:val="center"/>
            <w:shd w:fill="D9EAF7"/>
          </w:tcPr>
          <w:p>
            <w:r/>
            <w:r>
              <w:rPr>
                <w:b/>
                <w:sz w:val="17"/>
              </w:rPr>
              <w:t>Documento / procedimiento</w:t>
            </w:r>
          </w:p>
        </w:tc>
      </w:tr>
      <w:tr>
        <w:tc>
          <w:tcPr>
            <w:tcW w:type="dxa" w:w="4986"/>
            <w:vAlign w:val="center"/>
          </w:tcPr>
          <w:p>
            <w:r/>
            <w:r>
              <w:rPr>
                <w:b w:val="0"/>
                <w:sz w:val="17"/>
              </w:rPr>
              <w:t>PR-SGI-01</w:t>
            </w:r>
          </w:p>
        </w:tc>
        <w:tc>
          <w:tcPr>
            <w:tcW w:type="dxa" w:w="4986"/>
            <w:vAlign w:val="center"/>
          </w:tcPr>
          <w:p>
            <w:r/>
            <w:r>
              <w:rPr>
                <w:b w:val="0"/>
                <w:sz w:val="17"/>
              </w:rPr>
              <w:t>Control de información documentada</w:t>
            </w:r>
          </w:p>
        </w:tc>
      </w:tr>
      <w:tr>
        <w:tc>
          <w:tcPr>
            <w:tcW w:type="dxa" w:w="4986"/>
            <w:vAlign w:val="center"/>
          </w:tcPr>
          <w:p>
            <w:r/>
            <w:r>
              <w:rPr>
                <w:b w:val="0"/>
                <w:sz w:val="17"/>
              </w:rPr>
              <w:t>PR-SGI-02</w:t>
            </w:r>
          </w:p>
        </w:tc>
        <w:tc>
          <w:tcPr>
            <w:tcW w:type="dxa" w:w="4986"/>
            <w:vAlign w:val="center"/>
          </w:tcPr>
          <w:p>
            <w:r/>
            <w:r>
              <w:rPr>
                <w:b w:val="0"/>
                <w:sz w:val="17"/>
              </w:rPr>
              <w:t>Riesgos y oportunidades</w:t>
            </w:r>
          </w:p>
        </w:tc>
      </w:tr>
      <w:tr>
        <w:tc>
          <w:tcPr>
            <w:tcW w:type="dxa" w:w="4986"/>
            <w:vAlign w:val="center"/>
          </w:tcPr>
          <w:p>
            <w:r/>
            <w:r>
              <w:rPr>
                <w:b w:val="0"/>
                <w:sz w:val="17"/>
              </w:rPr>
              <w:t>PR-SGI-03</w:t>
            </w:r>
          </w:p>
        </w:tc>
        <w:tc>
          <w:tcPr>
            <w:tcW w:type="dxa" w:w="4986"/>
            <w:vAlign w:val="center"/>
          </w:tcPr>
          <w:p>
            <w:r/>
            <w:r>
              <w:rPr>
                <w:b w:val="0"/>
                <w:sz w:val="17"/>
              </w:rPr>
              <w:t>No conformidades y acciones correctivas</w:t>
            </w:r>
          </w:p>
        </w:tc>
      </w:tr>
      <w:tr>
        <w:tc>
          <w:tcPr>
            <w:tcW w:type="dxa" w:w="4986"/>
            <w:vAlign w:val="center"/>
          </w:tcPr>
          <w:p>
            <w:r/>
            <w:r>
              <w:rPr>
                <w:b w:val="0"/>
                <w:sz w:val="17"/>
              </w:rPr>
              <w:t>PR-SGI-04</w:t>
            </w:r>
          </w:p>
        </w:tc>
        <w:tc>
          <w:tcPr>
            <w:tcW w:type="dxa" w:w="4986"/>
            <w:vAlign w:val="center"/>
          </w:tcPr>
          <w:p>
            <w:r/>
            <w:r>
              <w:rPr>
                <w:b w:val="0"/>
                <w:sz w:val="17"/>
              </w:rPr>
              <w:t>Auditoría interna</w:t>
            </w:r>
          </w:p>
        </w:tc>
      </w:tr>
      <w:tr>
        <w:tc>
          <w:tcPr>
            <w:tcW w:type="dxa" w:w="4986"/>
            <w:vAlign w:val="center"/>
          </w:tcPr>
          <w:p>
            <w:r/>
            <w:r>
              <w:rPr>
                <w:b w:val="0"/>
                <w:sz w:val="17"/>
              </w:rPr>
              <w:t>PR-SGI-05</w:t>
            </w:r>
          </w:p>
        </w:tc>
        <w:tc>
          <w:tcPr>
            <w:tcW w:type="dxa" w:w="4986"/>
            <w:vAlign w:val="center"/>
          </w:tcPr>
          <w:p>
            <w:r/>
            <w:r>
              <w:rPr>
                <w:b w:val="0"/>
                <w:sz w:val="17"/>
              </w:rPr>
              <w:t>Revisión por la Dirección</w:t>
            </w:r>
          </w:p>
        </w:tc>
      </w:tr>
      <w:tr>
        <w:tc>
          <w:tcPr>
            <w:tcW w:type="dxa" w:w="4986"/>
            <w:vAlign w:val="center"/>
          </w:tcPr>
          <w:p>
            <w:r/>
            <w:r>
              <w:rPr>
                <w:b w:val="0"/>
                <w:sz w:val="17"/>
              </w:rPr>
              <w:t>PR-CO-01</w:t>
            </w:r>
          </w:p>
        </w:tc>
        <w:tc>
          <w:tcPr>
            <w:tcW w:type="dxa" w:w="4986"/>
            <w:vAlign w:val="center"/>
          </w:tcPr>
          <w:p>
            <w:r/>
            <w:r>
              <w:rPr>
                <w:b w:val="0"/>
                <w:sz w:val="17"/>
              </w:rPr>
              <w:t>Proceso comercial y revisión de requisitos</w:t>
            </w:r>
          </w:p>
        </w:tc>
      </w:tr>
      <w:tr>
        <w:tc>
          <w:tcPr>
            <w:tcW w:type="dxa" w:w="4986"/>
            <w:vAlign w:val="center"/>
          </w:tcPr>
          <w:p>
            <w:r/>
            <w:r>
              <w:rPr>
                <w:b w:val="0"/>
                <w:sz w:val="17"/>
              </w:rPr>
              <w:t>PR-CM-01</w:t>
            </w:r>
          </w:p>
        </w:tc>
        <w:tc>
          <w:tcPr>
            <w:tcW w:type="dxa" w:w="4986"/>
            <w:vAlign w:val="center"/>
          </w:tcPr>
          <w:p>
            <w:r/>
            <w:r>
              <w:rPr>
                <w:b w:val="0"/>
                <w:sz w:val="17"/>
              </w:rPr>
              <w:t>Compras y evaluación de proveedores</w:t>
            </w:r>
          </w:p>
        </w:tc>
      </w:tr>
      <w:tr>
        <w:tc>
          <w:tcPr>
            <w:tcW w:type="dxa" w:w="4986"/>
            <w:vAlign w:val="center"/>
          </w:tcPr>
          <w:p>
            <w:r/>
            <w:r>
              <w:rPr>
                <w:b w:val="0"/>
                <w:sz w:val="17"/>
              </w:rPr>
              <w:t>PR-OP-02</w:t>
            </w:r>
          </w:p>
        </w:tc>
        <w:tc>
          <w:tcPr>
            <w:tcW w:type="dxa" w:w="4986"/>
            <w:vAlign w:val="center"/>
          </w:tcPr>
          <w:p>
            <w:r/>
            <w:r>
              <w:rPr>
                <w:b w:val="0"/>
                <w:sz w:val="17"/>
              </w:rPr>
              <w:t>Producción: extrusión, corte, bobinado y transformación</w:t>
            </w:r>
          </w:p>
        </w:tc>
      </w:tr>
      <w:tr>
        <w:tc>
          <w:tcPr>
            <w:tcW w:type="dxa" w:w="4986"/>
            <w:vAlign w:val="center"/>
          </w:tcPr>
          <w:p>
            <w:r/>
            <w:r>
              <w:rPr>
                <w:b w:val="0"/>
                <w:sz w:val="17"/>
              </w:rPr>
              <w:t>PR-QA-01</w:t>
            </w:r>
          </w:p>
        </w:tc>
        <w:tc>
          <w:tcPr>
            <w:tcW w:type="dxa" w:w="4986"/>
            <w:vAlign w:val="center"/>
          </w:tcPr>
          <w:p>
            <w:r/>
            <w:r>
              <w:rPr>
                <w:b w:val="0"/>
                <w:sz w:val="17"/>
              </w:rPr>
              <w:t>Control de calidad, liberación y trazabilidad</w:t>
            </w:r>
          </w:p>
        </w:tc>
      </w:tr>
      <w:tr>
        <w:tc>
          <w:tcPr>
            <w:tcW w:type="dxa" w:w="4986"/>
            <w:vAlign w:val="center"/>
          </w:tcPr>
          <w:p>
            <w:r/>
            <w:r>
              <w:rPr>
                <w:b w:val="0"/>
                <w:sz w:val="17"/>
              </w:rPr>
              <w:t>PR-MT-01</w:t>
            </w:r>
          </w:p>
        </w:tc>
        <w:tc>
          <w:tcPr>
            <w:tcW w:type="dxa" w:w="4986"/>
            <w:vAlign w:val="center"/>
          </w:tcPr>
          <w:p>
            <w:r/>
            <w:r>
              <w:rPr>
                <w:b w:val="0"/>
                <w:sz w:val="17"/>
              </w:rPr>
              <w:t>Mantenimiento y control de equipos</w:t>
            </w:r>
          </w:p>
        </w:tc>
      </w:tr>
      <w:tr>
        <w:tc>
          <w:tcPr>
            <w:tcW w:type="dxa" w:w="4986"/>
            <w:vAlign w:val="center"/>
          </w:tcPr>
          <w:p>
            <w:r/>
            <w:r>
              <w:rPr>
                <w:b w:val="0"/>
                <w:sz w:val="17"/>
              </w:rPr>
              <w:t>PR-RRHH-01</w:t>
            </w:r>
          </w:p>
        </w:tc>
        <w:tc>
          <w:tcPr>
            <w:tcW w:type="dxa" w:w="4986"/>
            <w:vAlign w:val="center"/>
          </w:tcPr>
          <w:p>
            <w:r/>
            <w:r>
              <w:rPr>
                <w:b w:val="0"/>
                <w:sz w:val="17"/>
              </w:rPr>
              <w:t>Competencia, formación y toma de conciencia</w:t>
            </w:r>
          </w:p>
        </w:tc>
      </w:tr>
      <w:tr>
        <w:tc>
          <w:tcPr>
            <w:tcW w:type="dxa" w:w="4986"/>
            <w:vAlign w:val="center"/>
          </w:tcPr>
          <w:p>
            <w:r/>
            <w:r>
              <w:rPr>
                <w:b w:val="0"/>
                <w:sz w:val="17"/>
              </w:rPr>
              <w:t>PR-MA-01</w:t>
            </w:r>
          </w:p>
        </w:tc>
        <w:tc>
          <w:tcPr>
            <w:tcW w:type="dxa" w:w="4986"/>
            <w:vAlign w:val="center"/>
          </w:tcPr>
          <w:p>
            <w:r/>
            <w:r>
              <w:rPr>
                <w:b w:val="0"/>
                <w:sz w:val="17"/>
              </w:rPr>
              <w:t>Aspectos ambientales</w:t>
            </w:r>
          </w:p>
        </w:tc>
      </w:tr>
      <w:tr>
        <w:tc>
          <w:tcPr>
            <w:tcW w:type="dxa" w:w="4986"/>
            <w:vAlign w:val="center"/>
          </w:tcPr>
          <w:p>
            <w:r/>
            <w:r>
              <w:rPr>
                <w:b w:val="0"/>
                <w:sz w:val="17"/>
              </w:rPr>
              <w:t>PR-MA-02</w:t>
            </w:r>
          </w:p>
        </w:tc>
        <w:tc>
          <w:tcPr>
            <w:tcW w:type="dxa" w:w="4986"/>
            <w:vAlign w:val="center"/>
          </w:tcPr>
          <w:p>
            <w:r/>
            <w:r>
              <w:rPr>
                <w:b w:val="0"/>
                <w:sz w:val="17"/>
              </w:rPr>
              <w:t>Requisitos legales y evaluación de cumplimiento</w:t>
            </w:r>
          </w:p>
        </w:tc>
      </w:tr>
      <w:tr>
        <w:tc>
          <w:tcPr>
            <w:tcW w:type="dxa" w:w="4986"/>
            <w:vAlign w:val="center"/>
          </w:tcPr>
          <w:p>
            <w:r/>
            <w:r>
              <w:rPr>
                <w:b w:val="0"/>
                <w:sz w:val="17"/>
              </w:rPr>
              <w:t>PR-MA-03</w:t>
            </w:r>
          </w:p>
        </w:tc>
        <w:tc>
          <w:tcPr>
            <w:tcW w:type="dxa" w:w="4986"/>
            <w:vAlign w:val="center"/>
          </w:tcPr>
          <w:p>
            <w:r/>
            <w:r>
              <w:rPr>
                <w:b w:val="0"/>
                <w:sz w:val="17"/>
              </w:rPr>
              <w:t>Gestión de residuos</w:t>
            </w:r>
          </w:p>
        </w:tc>
      </w:tr>
      <w:tr>
        <w:tc>
          <w:tcPr>
            <w:tcW w:type="dxa" w:w="4986"/>
            <w:vAlign w:val="center"/>
          </w:tcPr>
          <w:p>
            <w:r/>
            <w:r>
              <w:rPr>
                <w:b w:val="0"/>
                <w:sz w:val="17"/>
              </w:rPr>
              <w:t>PR-MA-04</w:t>
            </w:r>
          </w:p>
        </w:tc>
        <w:tc>
          <w:tcPr>
            <w:tcW w:type="dxa" w:w="4986"/>
            <w:vAlign w:val="center"/>
          </w:tcPr>
          <w:p>
            <w:r/>
            <w:r>
              <w:rPr>
                <w:b w:val="0"/>
                <w:sz w:val="17"/>
              </w:rPr>
              <w:t>Preparación y respuesta ante emergencias</w:t>
            </w:r>
          </w:p>
        </w:tc>
      </w:tr>
      <w:tr>
        <w:tc>
          <w:tcPr>
            <w:tcW w:type="dxa" w:w="4986"/>
            <w:vAlign w:val="center"/>
          </w:tcPr>
          <w:p>
            <w:r/>
            <w:r>
              <w:rPr>
                <w:b w:val="0"/>
                <w:sz w:val="17"/>
              </w:rPr>
              <w:t>PR-COM-01</w:t>
            </w:r>
          </w:p>
        </w:tc>
        <w:tc>
          <w:tcPr>
            <w:tcW w:type="dxa" w:w="4986"/>
            <w:vAlign w:val="center"/>
          </w:tcPr>
          <w:p>
            <w:r/>
            <w:r>
              <w:rPr>
                <w:b w:val="0"/>
                <w:sz w:val="17"/>
              </w:rPr>
              <w:t>Comunicación interna y externa</w:t>
            </w:r>
          </w:p>
        </w:tc>
      </w:tr>
    </w:tbl>
    <w:p/>
    <w:p>
      <w:pPr>
        <w:pStyle w:val="Heading1"/>
      </w:pPr>
      <w:r>
        <w:t>14. Registros mínimos</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4986"/>
            <w:vAlign w:val="center"/>
            <w:shd w:fill="D9EAF7"/>
          </w:tcPr>
          <w:p>
            <w:r/>
            <w:r>
              <w:rPr>
                <w:b/>
                <w:sz w:val="17"/>
              </w:rPr>
              <w:t>Registro</w:t>
            </w:r>
          </w:p>
        </w:tc>
        <w:tc>
          <w:tcPr>
            <w:tcW w:type="dxa" w:w="4986"/>
            <w:vAlign w:val="center"/>
            <w:shd w:fill="D9EAF7"/>
          </w:tcPr>
          <w:p>
            <w:r/>
            <w:r>
              <w:rPr>
                <w:b/>
                <w:sz w:val="17"/>
              </w:rPr>
              <w:t>Finalidad</w:t>
            </w:r>
          </w:p>
        </w:tc>
      </w:tr>
      <w:tr>
        <w:tc>
          <w:tcPr>
            <w:tcW w:type="dxa" w:w="4986"/>
            <w:vAlign w:val="center"/>
          </w:tcPr>
          <w:p>
            <w:r/>
            <w:r>
              <w:rPr>
                <w:b w:val="0"/>
                <w:sz w:val="17"/>
              </w:rPr>
              <w:t>Lista maestra FR-01</w:t>
            </w:r>
          </w:p>
        </w:tc>
        <w:tc>
          <w:tcPr>
            <w:tcW w:type="dxa" w:w="4986"/>
            <w:vAlign w:val="center"/>
          </w:tcPr>
          <w:p>
            <w:r/>
            <w:r>
              <w:rPr>
                <w:b w:val="0"/>
                <w:sz w:val="17"/>
              </w:rPr>
              <w:t>Control de documentos y versiones.</w:t>
            </w:r>
          </w:p>
        </w:tc>
      </w:tr>
      <w:tr>
        <w:tc>
          <w:tcPr>
            <w:tcW w:type="dxa" w:w="4986"/>
            <w:vAlign w:val="center"/>
          </w:tcPr>
          <w:p>
            <w:r/>
            <w:r>
              <w:rPr>
                <w:b w:val="0"/>
                <w:sz w:val="17"/>
              </w:rPr>
              <w:t>Registro de formación</w:t>
            </w:r>
          </w:p>
        </w:tc>
        <w:tc>
          <w:tcPr>
            <w:tcW w:type="dxa" w:w="4986"/>
            <w:vAlign w:val="center"/>
          </w:tcPr>
          <w:p>
            <w:r/>
            <w:r>
              <w:rPr>
                <w:b w:val="0"/>
                <w:sz w:val="17"/>
              </w:rPr>
              <w:t>Competencias y formación realizada.</w:t>
            </w:r>
          </w:p>
        </w:tc>
      </w:tr>
      <w:tr>
        <w:tc>
          <w:tcPr>
            <w:tcW w:type="dxa" w:w="4986"/>
            <w:vAlign w:val="center"/>
          </w:tcPr>
          <w:p>
            <w:r/>
            <w:r>
              <w:rPr>
                <w:b w:val="0"/>
                <w:sz w:val="17"/>
              </w:rPr>
              <w:t>Evaluación de proveedores</w:t>
            </w:r>
          </w:p>
        </w:tc>
        <w:tc>
          <w:tcPr>
            <w:tcW w:type="dxa" w:w="4986"/>
            <w:vAlign w:val="center"/>
          </w:tcPr>
          <w:p>
            <w:r/>
            <w:r>
              <w:rPr>
                <w:b w:val="0"/>
                <w:sz w:val="17"/>
              </w:rPr>
              <w:t>Homologación y seguimiento.</w:t>
            </w:r>
          </w:p>
        </w:tc>
      </w:tr>
      <w:tr>
        <w:tc>
          <w:tcPr>
            <w:tcW w:type="dxa" w:w="4986"/>
            <w:vAlign w:val="center"/>
          </w:tcPr>
          <w:p>
            <w:r/>
            <w:r>
              <w:rPr>
                <w:b w:val="0"/>
                <w:sz w:val="17"/>
              </w:rPr>
              <w:t>Órdenes y registros de producción</w:t>
            </w:r>
          </w:p>
        </w:tc>
        <w:tc>
          <w:tcPr>
            <w:tcW w:type="dxa" w:w="4986"/>
            <w:vAlign w:val="center"/>
          </w:tcPr>
          <w:p>
            <w:r/>
            <w:r>
              <w:rPr>
                <w:b w:val="0"/>
                <w:sz w:val="17"/>
              </w:rPr>
              <w:t>Trazabilidad y controles de fabricación.</w:t>
            </w:r>
          </w:p>
        </w:tc>
      </w:tr>
      <w:tr>
        <w:tc>
          <w:tcPr>
            <w:tcW w:type="dxa" w:w="4986"/>
            <w:vAlign w:val="center"/>
          </w:tcPr>
          <w:p>
            <w:r/>
            <w:r>
              <w:rPr>
                <w:b w:val="0"/>
                <w:sz w:val="17"/>
              </w:rPr>
              <w:t>Inspecciones / control calidad</w:t>
            </w:r>
          </w:p>
        </w:tc>
        <w:tc>
          <w:tcPr>
            <w:tcW w:type="dxa" w:w="4986"/>
            <w:vAlign w:val="center"/>
          </w:tcPr>
          <w:p>
            <w:r/>
            <w:r>
              <w:rPr>
                <w:b w:val="0"/>
                <w:sz w:val="17"/>
              </w:rPr>
              <w:t>Evidencia de conformidad.</w:t>
            </w:r>
          </w:p>
        </w:tc>
      </w:tr>
      <w:tr>
        <w:tc>
          <w:tcPr>
            <w:tcW w:type="dxa" w:w="4986"/>
            <w:vAlign w:val="center"/>
          </w:tcPr>
          <w:p>
            <w:r/>
            <w:r>
              <w:rPr>
                <w:b w:val="0"/>
                <w:sz w:val="17"/>
              </w:rPr>
              <w:t>Mantenimiento y calibraciones</w:t>
            </w:r>
          </w:p>
        </w:tc>
        <w:tc>
          <w:tcPr>
            <w:tcW w:type="dxa" w:w="4986"/>
            <w:vAlign w:val="center"/>
          </w:tcPr>
          <w:p>
            <w:r/>
            <w:r>
              <w:rPr>
                <w:b w:val="0"/>
                <w:sz w:val="17"/>
              </w:rPr>
              <w:t>Estado de equipos.</w:t>
            </w:r>
          </w:p>
        </w:tc>
      </w:tr>
      <w:tr>
        <w:tc>
          <w:tcPr>
            <w:tcW w:type="dxa" w:w="4986"/>
            <w:vAlign w:val="center"/>
          </w:tcPr>
          <w:p>
            <w:r/>
            <w:r>
              <w:rPr>
                <w:b w:val="0"/>
                <w:sz w:val="17"/>
              </w:rPr>
              <w:t>NC / acciones correctivas</w:t>
            </w:r>
          </w:p>
        </w:tc>
        <w:tc>
          <w:tcPr>
            <w:tcW w:type="dxa" w:w="4986"/>
            <w:vAlign w:val="center"/>
          </w:tcPr>
          <w:p>
            <w:r/>
            <w:r>
              <w:rPr>
                <w:b w:val="0"/>
                <w:sz w:val="17"/>
              </w:rPr>
              <w:t>Control y mejora.</w:t>
            </w:r>
          </w:p>
        </w:tc>
      </w:tr>
      <w:tr>
        <w:tc>
          <w:tcPr>
            <w:tcW w:type="dxa" w:w="4986"/>
            <w:vAlign w:val="center"/>
          </w:tcPr>
          <w:p>
            <w:r/>
            <w:r>
              <w:rPr>
                <w:b w:val="0"/>
                <w:sz w:val="17"/>
              </w:rPr>
              <w:t>Reclamaciones</w:t>
            </w:r>
          </w:p>
        </w:tc>
        <w:tc>
          <w:tcPr>
            <w:tcW w:type="dxa" w:w="4986"/>
            <w:vAlign w:val="center"/>
          </w:tcPr>
          <w:p>
            <w:r/>
            <w:r>
              <w:rPr>
                <w:b w:val="0"/>
                <w:sz w:val="17"/>
              </w:rPr>
              <w:t>Seguimiento de cliente.</w:t>
            </w:r>
          </w:p>
        </w:tc>
      </w:tr>
      <w:tr>
        <w:tc>
          <w:tcPr>
            <w:tcW w:type="dxa" w:w="4986"/>
            <w:vAlign w:val="center"/>
          </w:tcPr>
          <w:p>
            <w:r/>
            <w:r>
              <w:rPr>
                <w:b w:val="0"/>
                <w:sz w:val="17"/>
              </w:rPr>
              <w:t>Objetivos e indicadores</w:t>
            </w:r>
          </w:p>
        </w:tc>
        <w:tc>
          <w:tcPr>
            <w:tcW w:type="dxa" w:w="4986"/>
            <w:vAlign w:val="center"/>
          </w:tcPr>
          <w:p>
            <w:r/>
            <w:r>
              <w:rPr>
                <w:b w:val="0"/>
                <w:sz w:val="17"/>
              </w:rPr>
              <w:t>Evaluación de desempeño.</w:t>
            </w:r>
          </w:p>
        </w:tc>
      </w:tr>
      <w:tr>
        <w:tc>
          <w:tcPr>
            <w:tcW w:type="dxa" w:w="4986"/>
            <w:vAlign w:val="center"/>
          </w:tcPr>
          <w:p>
            <w:r/>
            <w:r>
              <w:rPr>
                <w:b w:val="0"/>
                <w:sz w:val="17"/>
              </w:rPr>
              <w:t>Consumos</w:t>
            </w:r>
          </w:p>
        </w:tc>
        <w:tc>
          <w:tcPr>
            <w:tcW w:type="dxa" w:w="4986"/>
            <w:vAlign w:val="center"/>
          </w:tcPr>
          <w:p>
            <w:r/>
            <w:r>
              <w:rPr>
                <w:b w:val="0"/>
                <w:sz w:val="17"/>
              </w:rPr>
              <w:t>Electricidad, agua y otros recursos.</w:t>
            </w:r>
          </w:p>
        </w:tc>
      </w:tr>
      <w:tr>
        <w:tc>
          <w:tcPr>
            <w:tcW w:type="dxa" w:w="4986"/>
            <w:vAlign w:val="center"/>
          </w:tcPr>
          <w:p>
            <w:r/>
            <w:r>
              <w:rPr>
                <w:b w:val="0"/>
                <w:sz w:val="17"/>
              </w:rPr>
              <w:t>Residuos</w:t>
            </w:r>
          </w:p>
        </w:tc>
        <w:tc>
          <w:tcPr>
            <w:tcW w:type="dxa" w:w="4986"/>
            <w:vAlign w:val="center"/>
          </w:tcPr>
          <w:p>
            <w:r/>
            <w:r>
              <w:rPr>
                <w:b w:val="0"/>
                <w:sz w:val="17"/>
              </w:rPr>
              <w:t>Cantidades, gestores y justificantes.</w:t>
            </w:r>
          </w:p>
        </w:tc>
      </w:tr>
      <w:tr>
        <w:tc>
          <w:tcPr>
            <w:tcW w:type="dxa" w:w="4986"/>
            <w:vAlign w:val="center"/>
          </w:tcPr>
          <w:p>
            <w:r/>
            <w:r>
              <w:rPr>
                <w:b w:val="0"/>
                <w:sz w:val="17"/>
              </w:rPr>
              <w:t>Requisitos legales / autorizaciones</w:t>
            </w:r>
          </w:p>
        </w:tc>
        <w:tc>
          <w:tcPr>
            <w:tcW w:type="dxa" w:w="4986"/>
            <w:vAlign w:val="center"/>
          </w:tcPr>
          <w:p>
            <w:r/>
            <w:r>
              <w:rPr>
                <w:b w:val="0"/>
                <w:sz w:val="17"/>
              </w:rPr>
              <w:t>Evidencia de cumplimiento.</w:t>
            </w:r>
          </w:p>
        </w:tc>
      </w:tr>
      <w:tr>
        <w:tc>
          <w:tcPr>
            <w:tcW w:type="dxa" w:w="4986"/>
            <w:vAlign w:val="center"/>
          </w:tcPr>
          <w:p>
            <w:r/>
            <w:r>
              <w:rPr>
                <w:b w:val="0"/>
                <w:sz w:val="17"/>
              </w:rPr>
              <w:t>Controles ambientales</w:t>
            </w:r>
          </w:p>
        </w:tc>
        <w:tc>
          <w:tcPr>
            <w:tcW w:type="dxa" w:w="4986"/>
            <w:vAlign w:val="center"/>
          </w:tcPr>
          <w:p>
            <w:r/>
            <w:r>
              <w:rPr>
                <w:b w:val="0"/>
                <w:sz w:val="17"/>
              </w:rPr>
              <w:t>Ruido, inspecciones y seguimiento.</w:t>
            </w:r>
          </w:p>
        </w:tc>
      </w:tr>
      <w:tr>
        <w:tc>
          <w:tcPr>
            <w:tcW w:type="dxa" w:w="4986"/>
            <w:vAlign w:val="center"/>
          </w:tcPr>
          <w:p>
            <w:r/>
            <w:r>
              <w:rPr>
                <w:b w:val="0"/>
                <w:sz w:val="17"/>
              </w:rPr>
              <w:t>Auditorías internas</w:t>
            </w:r>
          </w:p>
        </w:tc>
        <w:tc>
          <w:tcPr>
            <w:tcW w:type="dxa" w:w="4986"/>
            <w:vAlign w:val="center"/>
          </w:tcPr>
          <w:p>
            <w:r/>
            <w:r>
              <w:rPr>
                <w:b w:val="0"/>
                <w:sz w:val="17"/>
              </w:rPr>
              <w:t>Plan, informe y acciones.</w:t>
            </w:r>
          </w:p>
        </w:tc>
      </w:tr>
      <w:tr>
        <w:tc>
          <w:tcPr>
            <w:tcW w:type="dxa" w:w="4986"/>
            <w:vAlign w:val="center"/>
          </w:tcPr>
          <w:p>
            <w:r/>
            <w:r>
              <w:rPr>
                <w:b w:val="0"/>
                <w:sz w:val="17"/>
              </w:rPr>
              <w:t>Revisión por Dirección</w:t>
            </w:r>
          </w:p>
        </w:tc>
        <w:tc>
          <w:tcPr>
            <w:tcW w:type="dxa" w:w="4986"/>
            <w:vAlign w:val="center"/>
          </w:tcPr>
          <w:p>
            <w:r/>
            <w:r>
              <w:rPr>
                <w:b w:val="0"/>
                <w:sz w:val="17"/>
              </w:rPr>
              <w:t>Decisiones, acciones y recursos.</w:t>
            </w:r>
          </w:p>
        </w:tc>
      </w:tr>
    </w:tbl>
    <w:p/>
    <w:p>
      <w:pPr>
        <w:pStyle w:val="Heading1"/>
      </w:pPr>
      <w:r>
        <w:t>15. Documentación de producto y PPWR (UE) 2025/40</w:t>
      </w:r>
    </w:p>
    <w:p>
      <w:r>
        <w:t>Cuando clientes soliciten documentación relacionada con envases y el Reglamento (UE) 2025/40, INFUPLAS mantendrá documentos coherentes con el producto suministrado y con la información disponible de materias primas y proveedores. Para productos como bolsa, tubo, camiseta, lámina y asa riñón, la documentación puede estructurarse en:</w:t>
      </w:r>
    </w:p>
    <w:p>
      <w:pPr>
        <w:pStyle w:val="ListBullet"/>
      </w:pPr>
      <w:r>
        <w:t>Declaración UE de conformidad del envase, cuando resulte aplicable.</w:t>
      </w:r>
    </w:p>
    <w:p>
      <w:pPr>
        <w:pStyle w:val="ListBullet"/>
      </w:pPr>
      <w:r>
        <w:t>Declaración de composición del producto.</w:t>
      </w:r>
    </w:p>
    <w:p>
      <w:pPr>
        <w:pStyle w:val="ListBullet"/>
      </w:pPr>
      <w:r>
        <w:t>Declaración de ausencia de PFAS cuando proceda y pueda sustentarse documentalmente.</w:t>
      </w:r>
    </w:p>
    <w:p>
      <w:pPr>
        <w:pStyle w:val="ListBullet"/>
      </w:pPr>
      <w:r>
        <w:t>Declaración relativa a metales pesados (Pb, Cd, Hg y otros que sean exigibles).</w:t>
      </w:r>
    </w:p>
    <w:p>
      <w:pPr>
        <w:pStyle w:val="ListBullet"/>
      </w:pPr>
      <w:r>
        <w:t>Fichas técnicas y certificados de materias primas / COA necesarios para trazabilidad.</w:t>
      </w:r>
    </w:p>
    <w:p>
      <w:r>
        <w:t>Las declaraciones genéricas sin lote pueden utilizarse para características permanentes de composición o ausencia de sustancias cuando estén sustentadas por especificaciones estables; los COA y resultados vinculados a producción concreta deberán mantener referencia de lote cuando sea necesario.</w:t>
      </w:r>
    </w:p>
    <w:p>
      <w:pPr>
        <w:pStyle w:val="Heading1"/>
      </w:pPr>
      <w:r>
        <w:t>16. Matriz de correspondencia ISO 9001 / ISO 14001</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324"/>
            <w:vAlign w:val="center"/>
            <w:shd w:fill="D9EAF7"/>
          </w:tcPr>
          <w:p>
            <w:r/>
            <w:r>
              <w:rPr>
                <w:b/>
                <w:sz w:val="17"/>
              </w:rPr>
              <w:t>Bloque del SGI</w:t>
            </w:r>
          </w:p>
        </w:tc>
        <w:tc>
          <w:tcPr>
            <w:tcW w:type="dxa" w:w="3324"/>
            <w:vAlign w:val="center"/>
            <w:shd w:fill="D9EAF7"/>
          </w:tcPr>
          <w:p>
            <w:r/>
            <w:r>
              <w:rPr>
                <w:b/>
                <w:sz w:val="17"/>
              </w:rPr>
              <w:t>ISO 9001</w:t>
            </w:r>
          </w:p>
        </w:tc>
        <w:tc>
          <w:tcPr>
            <w:tcW w:type="dxa" w:w="3324"/>
            <w:vAlign w:val="center"/>
            <w:shd w:fill="D9EAF7"/>
          </w:tcPr>
          <w:p>
            <w:r/>
            <w:r>
              <w:rPr>
                <w:b/>
                <w:sz w:val="17"/>
              </w:rPr>
              <w:t>ISO 14001</w:t>
            </w:r>
          </w:p>
        </w:tc>
      </w:tr>
      <w:tr>
        <w:tc>
          <w:tcPr>
            <w:tcW w:type="dxa" w:w="3324"/>
            <w:vAlign w:val="center"/>
          </w:tcPr>
          <w:p>
            <w:r/>
            <w:r>
              <w:rPr>
                <w:b w:val="0"/>
                <w:sz w:val="17"/>
              </w:rPr>
              <w:t>Contexto y partes interesadas</w:t>
            </w:r>
          </w:p>
        </w:tc>
        <w:tc>
          <w:tcPr>
            <w:tcW w:type="dxa" w:w="3324"/>
            <w:vAlign w:val="center"/>
          </w:tcPr>
          <w:p>
            <w:r/>
            <w:r>
              <w:rPr>
                <w:b w:val="0"/>
                <w:sz w:val="17"/>
              </w:rPr>
              <w:t>4</w:t>
            </w:r>
          </w:p>
        </w:tc>
        <w:tc>
          <w:tcPr>
            <w:tcW w:type="dxa" w:w="3324"/>
            <w:vAlign w:val="center"/>
          </w:tcPr>
          <w:p>
            <w:r/>
            <w:r>
              <w:rPr>
                <w:b w:val="0"/>
                <w:sz w:val="17"/>
              </w:rPr>
              <w:t>4</w:t>
            </w:r>
          </w:p>
        </w:tc>
      </w:tr>
      <w:tr>
        <w:tc>
          <w:tcPr>
            <w:tcW w:type="dxa" w:w="3324"/>
            <w:vAlign w:val="center"/>
          </w:tcPr>
          <w:p>
            <w:r/>
            <w:r>
              <w:rPr>
                <w:b w:val="0"/>
                <w:sz w:val="17"/>
              </w:rPr>
              <w:t>Liderazgo y política</w:t>
            </w:r>
          </w:p>
        </w:tc>
        <w:tc>
          <w:tcPr>
            <w:tcW w:type="dxa" w:w="3324"/>
            <w:vAlign w:val="center"/>
          </w:tcPr>
          <w:p>
            <w:r/>
            <w:r>
              <w:rPr>
                <w:b w:val="0"/>
                <w:sz w:val="17"/>
              </w:rPr>
              <w:t>5</w:t>
            </w:r>
          </w:p>
        </w:tc>
        <w:tc>
          <w:tcPr>
            <w:tcW w:type="dxa" w:w="3324"/>
            <w:vAlign w:val="center"/>
          </w:tcPr>
          <w:p>
            <w:r/>
            <w:r>
              <w:rPr>
                <w:b w:val="0"/>
                <w:sz w:val="17"/>
              </w:rPr>
              <w:t>5</w:t>
            </w:r>
          </w:p>
        </w:tc>
      </w:tr>
      <w:tr>
        <w:tc>
          <w:tcPr>
            <w:tcW w:type="dxa" w:w="3324"/>
            <w:vAlign w:val="center"/>
          </w:tcPr>
          <w:p>
            <w:r/>
            <w:r>
              <w:rPr>
                <w:b w:val="0"/>
                <w:sz w:val="17"/>
              </w:rPr>
              <w:t>Riesgos, oportunidades y objetivos</w:t>
            </w:r>
          </w:p>
        </w:tc>
        <w:tc>
          <w:tcPr>
            <w:tcW w:type="dxa" w:w="3324"/>
            <w:vAlign w:val="center"/>
          </w:tcPr>
          <w:p>
            <w:r/>
            <w:r>
              <w:rPr>
                <w:b w:val="0"/>
                <w:sz w:val="17"/>
              </w:rPr>
              <w:t>6</w:t>
            </w:r>
          </w:p>
        </w:tc>
        <w:tc>
          <w:tcPr>
            <w:tcW w:type="dxa" w:w="3324"/>
            <w:vAlign w:val="center"/>
          </w:tcPr>
          <w:p>
            <w:r/>
            <w:r>
              <w:rPr>
                <w:b w:val="0"/>
                <w:sz w:val="17"/>
              </w:rPr>
              <w:t>6</w:t>
            </w:r>
          </w:p>
        </w:tc>
      </w:tr>
      <w:tr>
        <w:tc>
          <w:tcPr>
            <w:tcW w:type="dxa" w:w="3324"/>
            <w:vAlign w:val="center"/>
          </w:tcPr>
          <w:p>
            <w:r/>
            <w:r>
              <w:rPr>
                <w:b w:val="0"/>
                <w:sz w:val="17"/>
              </w:rPr>
              <w:t>Recursos, competencia y documentación</w:t>
            </w:r>
          </w:p>
        </w:tc>
        <w:tc>
          <w:tcPr>
            <w:tcW w:type="dxa" w:w="3324"/>
            <w:vAlign w:val="center"/>
          </w:tcPr>
          <w:p>
            <w:r/>
            <w:r>
              <w:rPr>
                <w:b w:val="0"/>
                <w:sz w:val="17"/>
              </w:rPr>
              <w:t>7</w:t>
            </w:r>
          </w:p>
        </w:tc>
        <w:tc>
          <w:tcPr>
            <w:tcW w:type="dxa" w:w="3324"/>
            <w:vAlign w:val="center"/>
          </w:tcPr>
          <w:p>
            <w:r/>
            <w:r>
              <w:rPr>
                <w:b w:val="0"/>
                <w:sz w:val="17"/>
              </w:rPr>
              <w:t>7</w:t>
            </w:r>
          </w:p>
        </w:tc>
      </w:tr>
      <w:tr>
        <w:tc>
          <w:tcPr>
            <w:tcW w:type="dxa" w:w="3324"/>
            <w:vAlign w:val="center"/>
          </w:tcPr>
          <w:p>
            <w:r/>
            <w:r>
              <w:rPr>
                <w:b w:val="0"/>
                <w:sz w:val="17"/>
              </w:rPr>
              <w:t>Operación</w:t>
            </w:r>
          </w:p>
        </w:tc>
        <w:tc>
          <w:tcPr>
            <w:tcW w:type="dxa" w:w="3324"/>
            <w:vAlign w:val="center"/>
          </w:tcPr>
          <w:p>
            <w:r/>
            <w:r>
              <w:rPr>
                <w:b w:val="0"/>
                <w:sz w:val="17"/>
              </w:rPr>
              <w:t>8</w:t>
            </w:r>
          </w:p>
        </w:tc>
        <w:tc>
          <w:tcPr>
            <w:tcW w:type="dxa" w:w="3324"/>
            <w:vAlign w:val="center"/>
          </w:tcPr>
          <w:p>
            <w:r/>
            <w:r>
              <w:rPr>
                <w:b w:val="0"/>
                <w:sz w:val="17"/>
              </w:rPr>
              <w:t>8</w:t>
            </w:r>
          </w:p>
        </w:tc>
      </w:tr>
      <w:tr>
        <w:tc>
          <w:tcPr>
            <w:tcW w:type="dxa" w:w="3324"/>
            <w:vAlign w:val="center"/>
          </w:tcPr>
          <w:p>
            <w:r/>
            <w:r>
              <w:rPr>
                <w:b w:val="0"/>
                <w:sz w:val="17"/>
              </w:rPr>
              <w:t>Evaluación del desempeño</w:t>
            </w:r>
          </w:p>
        </w:tc>
        <w:tc>
          <w:tcPr>
            <w:tcW w:type="dxa" w:w="3324"/>
            <w:vAlign w:val="center"/>
          </w:tcPr>
          <w:p>
            <w:r/>
            <w:r>
              <w:rPr>
                <w:b w:val="0"/>
                <w:sz w:val="17"/>
              </w:rPr>
              <w:t>9</w:t>
            </w:r>
          </w:p>
        </w:tc>
        <w:tc>
          <w:tcPr>
            <w:tcW w:type="dxa" w:w="3324"/>
            <w:vAlign w:val="center"/>
          </w:tcPr>
          <w:p>
            <w:r/>
            <w:r>
              <w:rPr>
                <w:b w:val="0"/>
                <w:sz w:val="17"/>
              </w:rPr>
              <w:t>9</w:t>
            </w:r>
          </w:p>
        </w:tc>
      </w:tr>
      <w:tr>
        <w:tc>
          <w:tcPr>
            <w:tcW w:type="dxa" w:w="3324"/>
            <w:vAlign w:val="center"/>
          </w:tcPr>
          <w:p>
            <w:r/>
            <w:r>
              <w:rPr>
                <w:b w:val="0"/>
                <w:sz w:val="17"/>
              </w:rPr>
              <w:t>No conformidad y mejora</w:t>
            </w:r>
          </w:p>
        </w:tc>
        <w:tc>
          <w:tcPr>
            <w:tcW w:type="dxa" w:w="3324"/>
            <w:vAlign w:val="center"/>
          </w:tcPr>
          <w:p>
            <w:r/>
            <w:r>
              <w:rPr>
                <w:b w:val="0"/>
                <w:sz w:val="17"/>
              </w:rPr>
              <w:t>10</w:t>
            </w:r>
          </w:p>
        </w:tc>
        <w:tc>
          <w:tcPr>
            <w:tcW w:type="dxa" w:w="3324"/>
            <w:vAlign w:val="center"/>
          </w:tcPr>
          <w:p>
            <w:r/>
            <w:r>
              <w:rPr>
                <w:b w:val="0"/>
                <w:sz w:val="17"/>
              </w:rPr>
              <w:t>10</w:t>
            </w:r>
          </w:p>
        </w:tc>
      </w:tr>
    </w:tbl>
    <w:p/>
    <w:p>
      <w:r>
        <w:br w:type="page"/>
      </w:r>
    </w:p>
    <w:p>
      <w:pPr>
        <w:pStyle w:val="Heading1"/>
      </w:pPr>
      <w:r>
        <w:t>17. Criterios de mantenimiento del SGI</w:t>
      </w:r>
    </w:p>
    <w:p>
      <w:pPr>
        <w:pStyle w:val="ListBullet"/>
      </w:pPr>
      <w:r>
        <w:t>Revisar el Manual al menos una vez al año.</w:t>
      </w:r>
    </w:p>
    <w:p>
      <w:pPr>
        <w:pStyle w:val="ListBullet"/>
      </w:pPr>
      <w:r>
        <w:t>Actualizar matriz legal cuando cambie normativa aplicable.</w:t>
      </w:r>
    </w:p>
    <w:p>
      <w:pPr>
        <w:pStyle w:val="ListBullet"/>
      </w:pPr>
      <w:r>
        <w:t>Revisar aspectos ambientales y riesgos ante cambios de proceso, maquinaria o productos.</w:t>
      </w:r>
    </w:p>
    <w:p>
      <w:pPr>
        <w:pStyle w:val="ListBullet"/>
      </w:pPr>
      <w:r>
        <w:t>Mantener indicadores con datos objetivos y tendencias.</w:t>
      </w:r>
    </w:p>
    <w:p>
      <w:pPr>
        <w:pStyle w:val="ListBullet"/>
      </w:pPr>
      <w:r>
        <w:t>Cerrar acciones con responsable, fecha y verificación de eficacia.</w:t>
      </w:r>
    </w:p>
    <w:p>
      <w:pPr>
        <w:pStyle w:val="ListBullet"/>
      </w:pPr>
      <w:r>
        <w:t>Evitar documentación excesiva: cada procedimiento o registro debe aportar control, evidencia o valor.</w:t>
      </w:r>
    </w:p>
    <w:p>
      <w:pPr>
        <w:jc w:val="center"/>
      </w:pPr>
      <w:r>
        <w:rPr>
          <w:b/>
        </w:rPr>
        <w:t>FIN DEL DOCUMENTO</w:t>
      </w:r>
    </w:p>
    <w:sectPr w:rsidR="00FC693F" w:rsidRPr="0006063C" w:rsidSect="00034616">
      <w:footerReference w:type="default" r:id="rId9"/>
      <w:head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INFUPLAS · Manual SGI MG-SGI-01 · Versión 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sz w:val="16"/>
      </w:rPr>
      <w:t>ISO 9001:2015 + ISO 14001:2015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4546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aSGI">
    <w:name w:val="Nota SGI"/>
    <w:rPr>
      <w:rFonts w:ascii="Aptos" w:hAnsi="Aptos"/>
      <w:i/>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